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F66E9" w14:textId="77777777" w:rsidR="00711BC0" w:rsidRDefault="00711BC0"/>
    <w:p w14:paraId="0BDBD110" w14:textId="6F52BE25" w:rsidR="00711BC0" w:rsidRPr="00711BC0" w:rsidRDefault="00A81EBA" w:rsidP="00195F3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711BC0" w:rsidRPr="00711BC0">
        <w:rPr>
          <w:rFonts w:ascii="Arial" w:hAnsi="Arial" w:cs="Arial"/>
          <w:b/>
          <w:sz w:val="28"/>
          <w:szCs w:val="28"/>
        </w:rPr>
        <w:t>rise de position sur la philanthropie au MÉPACQ</w:t>
      </w:r>
    </w:p>
    <w:p w14:paraId="7CF89CDE" w14:textId="46F92A83" w:rsidR="000E0CB3" w:rsidRDefault="000E0CB3" w:rsidP="00E04C3C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Assemblée</w:t>
      </w:r>
      <w:r w:rsidR="00711BC0" w:rsidRPr="00711BC0">
        <w:rPr>
          <w:rFonts w:ascii="Arial" w:hAnsi="Arial" w:cs="Arial"/>
          <w:b/>
          <w:sz w:val="26"/>
          <w:szCs w:val="26"/>
        </w:rPr>
        <w:t xml:space="preserve"> générale du 4 et 5 décembre 2024</w:t>
      </w:r>
    </w:p>
    <w:p w14:paraId="371C8050" w14:textId="77777777" w:rsidR="00711BC0" w:rsidRPr="00711BC0" w:rsidRDefault="00711BC0" w:rsidP="000E0CB3">
      <w:pPr>
        <w:rPr>
          <w:rFonts w:ascii="Arial" w:hAnsi="Arial" w:cs="Arial"/>
          <w:b/>
          <w:sz w:val="26"/>
          <w:szCs w:val="26"/>
        </w:rPr>
      </w:pPr>
      <w:r w:rsidRPr="00317AE6">
        <w:rPr>
          <w:b/>
          <w:sz w:val="24"/>
          <w:szCs w:val="24"/>
        </w:rPr>
        <w:t xml:space="preserve">Contexte </w:t>
      </w:r>
    </w:p>
    <w:p w14:paraId="5B73442B" w14:textId="5C1C67BA" w:rsidR="00711BC0" w:rsidRDefault="00711BC0" w:rsidP="00711BC0">
      <w:pPr>
        <w:rPr>
          <w:sz w:val="24"/>
          <w:szCs w:val="24"/>
        </w:rPr>
      </w:pPr>
      <w:r w:rsidRPr="00317AE6">
        <w:rPr>
          <w:sz w:val="24"/>
          <w:szCs w:val="24"/>
        </w:rPr>
        <w:t>Depuis le 1</w:t>
      </w:r>
      <w:r w:rsidRPr="00317AE6">
        <w:rPr>
          <w:sz w:val="24"/>
          <w:szCs w:val="24"/>
          <w:vertAlign w:val="superscript"/>
        </w:rPr>
        <w:t>er</w:t>
      </w:r>
      <w:r w:rsidRPr="00317AE6">
        <w:rPr>
          <w:sz w:val="24"/>
          <w:szCs w:val="24"/>
        </w:rPr>
        <w:t> janvier 2023 au Canada, les grandes fondations privées au capital de 1 million de dollars et plus ont l’obligation de distribuer chaque année 5 % plutôt que 3,5% de leurs actifs à des œuvres de bienfaisance. La plupart des fondations distribue seulement le minimum requis par la loi. Ce qui e</w:t>
      </w:r>
      <w:r w:rsidR="00E51423">
        <w:rPr>
          <w:sz w:val="24"/>
          <w:szCs w:val="24"/>
        </w:rPr>
        <w:t>xplique pourquoi</w:t>
      </w:r>
      <w:r w:rsidRPr="00317AE6">
        <w:rPr>
          <w:sz w:val="24"/>
          <w:szCs w:val="24"/>
        </w:rPr>
        <w:t xml:space="preserve"> plusieurs fondations, dont la fondation</w:t>
      </w:r>
      <w:r w:rsidR="005D05B8">
        <w:rPr>
          <w:sz w:val="24"/>
          <w:szCs w:val="24"/>
        </w:rPr>
        <w:t xml:space="preserve"> Lucie et André</w:t>
      </w:r>
      <w:r w:rsidRPr="00317AE6">
        <w:rPr>
          <w:sz w:val="24"/>
          <w:szCs w:val="24"/>
        </w:rPr>
        <w:t xml:space="preserve"> Chagnon (FLAC), ont multiplié les annonces et amoindri la reddition de compte pour se conformer à ce changement de la loi. </w:t>
      </w:r>
    </w:p>
    <w:p w14:paraId="7FB4E85E" w14:textId="08805EE9" w:rsidR="00E04C3C" w:rsidRDefault="00711BC0" w:rsidP="00711BC0">
      <w:pPr>
        <w:rPr>
          <w:sz w:val="24"/>
          <w:szCs w:val="24"/>
        </w:rPr>
      </w:pPr>
      <w:r>
        <w:rPr>
          <w:sz w:val="24"/>
          <w:szCs w:val="24"/>
        </w:rPr>
        <w:t xml:space="preserve">Du côté du gouvernement, on entend de plus en plus un discours qui mentionne la soi-disant complémentarité entre les fonds publics et </w:t>
      </w:r>
      <w:r w:rsidR="00A15DC9">
        <w:rPr>
          <w:sz w:val="24"/>
          <w:szCs w:val="24"/>
        </w:rPr>
        <w:t>l’</w:t>
      </w:r>
      <w:r w:rsidR="00545781">
        <w:rPr>
          <w:sz w:val="24"/>
          <w:szCs w:val="24"/>
        </w:rPr>
        <w:t xml:space="preserve">argent privé </w:t>
      </w:r>
      <w:r>
        <w:rPr>
          <w:sz w:val="24"/>
          <w:szCs w:val="24"/>
        </w:rPr>
        <w:t xml:space="preserve">sur divers enjeux du filet social </w:t>
      </w:r>
      <w:r w:rsidR="00545781">
        <w:rPr>
          <w:sz w:val="24"/>
          <w:szCs w:val="24"/>
        </w:rPr>
        <w:t>(</w:t>
      </w:r>
      <w:hyperlink r:id="rId8" w:history="1">
        <w:r w:rsidR="00545781" w:rsidRPr="006440E1">
          <w:rPr>
            <w:rStyle w:val="Lienhypertexte"/>
            <w:sz w:val="24"/>
            <w:szCs w:val="24"/>
          </w:rPr>
          <w:t>hébergement</w:t>
        </w:r>
      </w:hyperlink>
      <w:r w:rsidR="00E51423">
        <w:rPr>
          <w:rStyle w:val="Appelnotedebasdep"/>
          <w:color w:val="0563C1" w:themeColor="hyperlink"/>
          <w:sz w:val="24"/>
          <w:szCs w:val="24"/>
          <w:u w:val="single"/>
        </w:rPr>
        <w:footnoteReference w:id="1"/>
      </w:r>
      <w:r w:rsidR="00545781">
        <w:rPr>
          <w:sz w:val="24"/>
          <w:szCs w:val="24"/>
        </w:rPr>
        <w:t xml:space="preserve">, </w:t>
      </w:r>
      <w:hyperlink r:id="rId9" w:history="1">
        <w:r w:rsidR="00545781" w:rsidRPr="006440E1">
          <w:rPr>
            <w:rStyle w:val="Lienhypertexte"/>
            <w:sz w:val="24"/>
            <w:szCs w:val="24"/>
          </w:rPr>
          <w:t>pauvreté</w:t>
        </w:r>
      </w:hyperlink>
      <w:r w:rsidR="00E51423">
        <w:rPr>
          <w:rStyle w:val="Appelnotedebasdep"/>
          <w:color w:val="0563C1" w:themeColor="hyperlink"/>
          <w:sz w:val="24"/>
          <w:szCs w:val="24"/>
          <w:u w:val="single"/>
        </w:rPr>
        <w:footnoteReference w:id="2"/>
      </w:r>
      <w:r w:rsidR="00545781">
        <w:rPr>
          <w:sz w:val="24"/>
          <w:szCs w:val="24"/>
        </w:rPr>
        <w:t xml:space="preserve">, </w:t>
      </w:r>
      <w:hyperlink r:id="rId10" w:history="1">
        <w:r w:rsidR="00545781" w:rsidRPr="00857945">
          <w:rPr>
            <w:rStyle w:val="Lienhypertexte"/>
            <w:sz w:val="24"/>
            <w:szCs w:val="24"/>
          </w:rPr>
          <w:t>éducation</w:t>
        </w:r>
      </w:hyperlink>
      <w:r w:rsidR="00E51423">
        <w:rPr>
          <w:rStyle w:val="Appelnotedebasdep"/>
          <w:color w:val="0563C1" w:themeColor="hyperlink"/>
          <w:sz w:val="24"/>
          <w:szCs w:val="24"/>
          <w:u w:val="single"/>
        </w:rPr>
        <w:footnoteReference w:id="3"/>
      </w:r>
      <w:r w:rsidR="00545781">
        <w:rPr>
          <w:sz w:val="24"/>
          <w:szCs w:val="24"/>
        </w:rPr>
        <w:t xml:space="preserve">, </w:t>
      </w:r>
      <w:hyperlink r:id="rId11" w:history="1">
        <w:r w:rsidR="00545781" w:rsidRPr="006440E1">
          <w:rPr>
            <w:rStyle w:val="Lienhypertexte"/>
            <w:sz w:val="24"/>
            <w:szCs w:val="24"/>
          </w:rPr>
          <w:t>santé</w:t>
        </w:r>
      </w:hyperlink>
      <w:r w:rsidR="00E51423">
        <w:rPr>
          <w:rStyle w:val="Appelnotedebasdep"/>
          <w:color w:val="0563C1" w:themeColor="hyperlink"/>
          <w:sz w:val="24"/>
          <w:szCs w:val="24"/>
          <w:u w:val="single"/>
        </w:rPr>
        <w:footnoteReference w:id="4"/>
      </w:r>
      <w:r w:rsidR="00545781">
        <w:rPr>
          <w:sz w:val="24"/>
          <w:szCs w:val="24"/>
        </w:rPr>
        <w:t>)</w:t>
      </w:r>
      <w:r w:rsidR="005529C4">
        <w:rPr>
          <w:sz w:val="24"/>
          <w:szCs w:val="24"/>
        </w:rPr>
        <w:t>,</w:t>
      </w:r>
      <w:r w:rsidR="00545781">
        <w:rPr>
          <w:sz w:val="24"/>
          <w:szCs w:val="24"/>
        </w:rPr>
        <w:t xml:space="preserve"> </w:t>
      </w:r>
      <w:r>
        <w:rPr>
          <w:sz w:val="24"/>
          <w:szCs w:val="24"/>
        </w:rPr>
        <w:t>dont le financement des organismes communautaire</w:t>
      </w:r>
      <w:r w:rsidR="008D16EC">
        <w:rPr>
          <w:sz w:val="24"/>
          <w:szCs w:val="24"/>
        </w:rPr>
        <w:t>s</w:t>
      </w:r>
      <w:r w:rsidR="00B3369B">
        <w:rPr>
          <w:sz w:val="24"/>
          <w:szCs w:val="24"/>
        </w:rPr>
        <w:t xml:space="preserve"> autonomes</w:t>
      </w:r>
      <w:r w:rsidR="00E34F64">
        <w:rPr>
          <w:sz w:val="24"/>
          <w:szCs w:val="24"/>
        </w:rPr>
        <w:t>.</w:t>
      </w:r>
    </w:p>
    <w:p w14:paraId="7321EA94" w14:textId="77777777" w:rsidR="00711BC0" w:rsidRPr="00317AE6" w:rsidRDefault="00711BC0" w:rsidP="00E04C3C">
      <w:pPr>
        <w:rPr>
          <w:b/>
          <w:sz w:val="24"/>
          <w:szCs w:val="24"/>
        </w:rPr>
      </w:pPr>
      <w:r w:rsidRPr="00317AE6">
        <w:rPr>
          <w:b/>
          <w:sz w:val="24"/>
          <w:szCs w:val="24"/>
        </w:rPr>
        <w:t>Historique du dossier au MÉPACQ</w:t>
      </w:r>
    </w:p>
    <w:p w14:paraId="7731137E" w14:textId="7AA901A4" w:rsidR="00711BC0" w:rsidRPr="00317AE6" w:rsidRDefault="003A1DB3" w:rsidP="00711BC0">
      <w:pPr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="00711BC0" w:rsidRPr="00317AE6">
        <w:rPr>
          <w:sz w:val="24"/>
          <w:szCs w:val="24"/>
        </w:rPr>
        <w:t xml:space="preserve">MÉPACQ </w:t>
      </w:r>
      <w:r>
        <w:rPr>
          <w:sz w:val="24"/>
          <w:szCs w:val="24"/>
        </w:rPr>
        <w:t xml:space="preserve">et les tables régionales </w:t>
      </w:r>
      <w:r w:rsidR="00711BC0" w:rsidRPr="00317AE6">
        <w:rPr>
          <w:sz w:val="24"/>
          <w:szCs w:val="24"/>
        </w:rPr>
        <w:t xml:space="preserve">ont enclenché des travaux pour analyser cette tendance, s’outiller et susciter des échanges. </w:t>
      </w:r>
    </w:p>
    <w:p w14:paraId="670A93A4" w14:textId="77777777" w:rsidR="005D05B8" w:rsidRDefault="00711BC0" w:rsidP="005D05B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61055">
        <w:rPr>
          <w:sz w:val="24"/>
          <w:szCs w:val="24"/>
        </w:rPr>
        <w:t xml:space="preserve">La Table des groupes populaires de la Côte-Nord, la TROVEP de la Montérégie et le Regroupement des organismes d’ÉPA de la Mauricie (ROÉPAM) ont produit le document : </w:t>
      </w:r>
    </w:p>
    <w:p w14:paraId="36D7503D" w14:textId="1D5A6854" w:rsidR="005D05B8" w:rsidRPr="005D05B8" w:rsidRDefault="00711BC0" w:rsidP="005D05B8">
      <w:pPr>
        <w:pStyle w:val="Paragraphedeliste"/>
        <w:rPr>
          <w:sz w:val="24"/>
          <w:szCs w:val="24"/>
        </w:rPr>
      </w:pPr>
      <w:r w:rsidRPr="005D05B8">
        <w:rPr>
          <w:i/>
          <w:sz w:val="24"/>
          <w:szCs w:val="24"/>
        </w:rPr>
        <w:t xml:space="preserve"> La modernisation des programmes destinés au communautaire</w:t>
      </w:r>
      <w:r w:rsidR="005D05B8" w:rsidRPr="005D05B8">
        <w:rPr>
          <w:i/>
          <w:sz w:val="24"/>
          <w:szCs w:val="24"/>
        </w:rPr>
        <w:t> :</w:t>
      </w:r>
    </w:p>
    <w:p w14:paraId="4A072827" w14:textId="7D2DF485" w:rsidR="00711BC0" w:rsidRPr="005D05B8" w:rsidRDefault="005D05B8" w:rsidP="005D05B8">
      <w:pPr>
        <w:pStyle w:val="Paragraphedeliste"/>
        <w:rPr>
          <w:sz w:val="24"/>
          <w:szCs w:val="24"/>
        </w:rPr>
      </w:pPr>
      <w:r w:rsidRPr="005D05B8">
        <w:rPr>
          <w:i/>
          <w:sz w:val="24"/>
          <w:szCs w:val="24"/>
        </w:rPr>
        <w:t xml:space="preserve"> </w:t>
      </w:r>
      <w:hyperlink r:id="rId12" w:history="1">
        <w:r w:rsidR="00711BC0" w:rsidRPr="005D05B8">
          <w:rPr>
            <w:rStyle w:val="Lienhypertexte"/>
            <w:sz w:val="24"/>
            <w:szCs w:val="24"/>
          </w:rPr>
          <w:t>https://mepacq.qc.ca/wp-content/uploads/2023/06/Fondations.pdf</w:t>
        </w:r>
      </w:hyperlink>
      <w:r w:rsidR="00711BC0" w:rsidRPr="005D05B8">
        <w:rPr>
          <w:sz w:val="24"/>
          <w:szCs w:val="24"/>
        </w:rPr>
        <w:t xml:space="preserve"> </w:t>
      </w:r>
    </w:p>
    <w:p w14:paraId="0F9C4A0C" w14:textId="77777777" w:rsidR="00711BC0" w:rsidRPr="00317AE6" w:rsidRDefault="00711BC0" w:rsidP="00711BC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17AE6">
        <w:rPr>
          <w:sz w:val="24"/>
          <w:szCs w:val="24"/>
        </w:rPr>
        <w:t>Un comité de travail au MÉPACQ a été formé</w:t>
      </w:r>
      <w:r>
        <w:rPr>
          <w:sz w:val="24"/>
          <w:szCs w:val="24"/>
        </w:rPr>
        <w:t xml:space="preserve"> et a réalisé</w:t>
      </w:r>
      <w:r w:rsidRPr="00317AE6">
        <w:rPr>
          <w:sz w:val="24"/>
          <w:szCs w:val="24"/>
        </w:rPr>
        <w:t xml:space="preserve"> : </w:t>
      </w:r>
    </w:p>
    <w:p w14:paraId="79D154B8" w14:textId="297E8706" w:rsidR="00711BC0" w:rsidRPr="00317AE6" w:rsidRDefault="00711BC0" w:rsidP="00711BC0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</w:t>
      </w:r>
      <w:r w:rsidRPr="00317AE6">
        <w:rPr>
          <w:sz w:val="24"/>
          <w:szCs w:val="24"/>
        </w:rPr>
        <w:t xml:space="preserve"> atelier à l’assemblée</w:t>
      </w:r>
      <w:r>
        <w:rPr>
          <w:sz w:val="24"/>
          <w:szCs w:val="24"/>
        </w:rPr>
        <w:t xml:space="preserve"> générale</w:t>
      </w:r>
      <w:r w:rsidRPr="00317AE6">
        <w:rPr>
          <w:sz w:val="24"/>
          <w:szCs w:val="24"/>
        </w:rPr>
        <w:t xml:space="preserve"> de mars 20</w:t>
      </w:r>
      <w:r w:rsidR="005D05B8">
        <w:rPr>
          <w:sz w:val="24"/>
          <w:szCs w:val="24"/>
        </w:rPr>
        <w:t>23;</w:t>
      </w:r>
    </w:p>
    <w:p w14:paraId="6EAC170B" w14:textId="77777777" w:rsidR="003A1DB3" w:rsidRDefault="00711BC0" w:rsidP="003A1DB3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</w:t>
      </w:r>
      <w:r w:rsidRPr="00317AE6">
        <w:rPr>
          <w:sz w:val="24"/>
          <w:szCs w:val="24"/>
        </w:rPr>
        <w:t xml:space="preserve"> outil </w:t>
      </w:r>
      <w:r>
        <w:rPr>
          <w:sz w:val="24"/>
          <w:szCs w:val="24"/>
        </w:rPr>
        <w:t xml:space="preserve">publié </w:t>
      </w:r>
      <w:r w:rsidRPr="00317AE6">
        <w:rPr>
          <w:sz w:val="24"/>
          <w:szCs w:val="24"/>
        </w:rPr>
        <w:t xml:space="preserve">en décembre 2023 : </w:t>
      </w:r>
    </w:p>
    <w:p w14:paraId="5AFCF91B" w14:textId="39E61A32" w:rsidR="003A1DB3" w:rsidRPr="003A1DB3" w:rsidRDefault="003A1DB3" w:rsidP="003A1DB3">
      <w:pPr>
        <w:pStyle w:val="Paragraphedeliste"/>
        <w:ind w:left="1440"/>
        <w:rPr>
          <w:i/>
          <w:sz w:val="24"/>
          <w:szCs w:val="24"/>
        </w:rPr>
      </w:pPr>
      <w:r w:rsidRPr="003A1DB3">
        <w:rPr>
          <w:i/>
          <w:sz w:val="24"/>
          <w:szCs w:val="24"/>
        </w:rPr>
        <w:t>Le gouvernement, les fondations et le communautaire</w:t>
      </w:r>
      <w:r>
        <w:rPr>
          <w:i/>
          <w:sz w:val="24"/>
          <w:szCs w:val="24"/>
        </w:rPr>
        <w:t xml:space="preserve"> </w:t>
      </w:r>
      <w:r w:rsidR="00F420E8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</w:t>
      </w:r>
      <w:r w:rsidRPr="003A1DB3">
        <w:rPr>
          <w:i/>
          <w:sz w:val="24"/>
          <w:szCs w:val="24"/>
        </w:rPr>
        <w:t>Quand</w:t>
      </w:r>
      <w:r w:rsidR="00F420E8">
        <w:rPr>
          <w:i/>
          <w:sz w:val="24"/>
          <w:szCs w:val="24"/>
        </w:rPr>
        <w:t xml:space="preserve"> </w:t>
      </w:r>
      <w:r w:rsidRPr="003A1DB3">
        <w:rPr>
          <w:i/>
          <w:sz w:val="24"/>
          <w:szCs w:val="24"/>
        </w:rPr>
        <w:t>le monde des affaires se mêle de nos affaires</w:t>
      </w:r>
    </w:p>
    <w:p w14:paraId="35ED613E" w14:textId="77777777" w:rsidR="00711BC0" w:rsidRPr="00711BC0" w:rsidRDefault="003A1DB3" w:rsidP="003A1DB3">
      <w:pPr>
        <w:pStyle w:val="Paragraphedeliste"/>
        <w:ind w:left="1440"/>
        <w:rPr>
          <w:rStyle w:val="Lienhypertexte"/>
          <w:color w:val="auto"/>
          <w:sz w:val="24"/>
          <w:szCs w:val="24"/>
          <w:u w:val="none"/>
        </w:rPr>
      </w:pPr>
      <w:r>
        <w:t xml:space="preserve"> </w:t>
      </w:r>
      <w:hyperlink r:id="rId13" w:history="1">
        <w:r w:rsidR="00711BC0" w:rsidRPr="00317AE6">
          <w:rPr>
            <w:rStyle w:val="Lienhypertexte"/>
            <w:sz w:val="24"/>
            <w:szCs w:val="24"/>
          </w:rPr>
          <w:t>https://mepacq.qc.ca/tool/philanthropie/</w:t>
        </w:r>
      </w:hyperlink>
    </w:p>
    <w:p w14:paraId="6EB85898" w14:textId="77777777" w:rsidR="00711BC0" w:rsidRDefault="00711BC0" w:rsidP="00711BC0">
      <w:pPr>
        <w:pStyle w:val="Paragraphedeliste"/>
        <w:ind w:left="1440"/>
        <w:rPr>
          <w:rStyle w:val="Lienhypertexte"/>
          <w:color w:val="auto"/>
          <w:sz w:val="24"/>
          <w:szCs w:val="24"/>
          <w:u w:val="none"/>
        </w:rPr>
      </w:pPr>
    </w:p>
    <w:p w14:paraId="263A10DD" w14:textId="77777777" w:rsidR="00215272" w:rsidRDefault="00215272" w:rsidP="00711BC0">
      <w:pPr>
        <w:pStyle w:val="Paragraphedeliste"/>
        <w:ind w:left="1440"/>
        <w:rPr>
          <w:rStyle w:val="Lienhypertexte"/>
          <w:color w:val="auto"/>
          <w:sz w:val="24"/>
          <w:szCs w:val="24"/>
          <w:u w:val="none"/>
        </w:rPr>
      </w:pPr>
    </w:p>
    <w:p w14:paraId="1CA5AC7A" w14:textId="77777777" w:rsidR="00215272" w:rsidRPr="00711BC0" w:rsidRDefault="00215272" w:rsidP="00711BC0">
      <w:pPr>
        <w:pStyle w:val="Paragraphedeliste"/>
        <w:ind w:left="1440"/>
        <w:rPr>
          <w:rStyle w:val="Lienhypertexte"/>
          <w:color w:val="auto"/>
          <w:sz w:val="24"/>
          <w:szCs w:val="24"/>
          <w:u w:val="none"/>
        </w:rPr>
      </w:pPr>
    </w:p>
    <w:p w14:paraId="312BAD97" w14:textId="77777777" w:rsidR="00711BC0" w:rsidRDefault="00A15DC9" w:rsidP="00E04C3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RODCD et RQ-ACA</w:t>
      </w:r>
    </w:p>
    <w:p w14:paraId="25A10291" w14:textId="1AD69505" w:rsidR="004D71D6" w:rsidRPr="00A15DC9" w:rsidRDefault="00711BC0" w:rsidP="00711BC0">
      <w:pPr>
        <w:rPr>
          <w:sz w:val="24"/>
          <w:szCs w:val="24"/>
        </w:rPr>
      </w:pPr>
      <w:r w:rsidRPr="00A15DC9">
        <w:rPr>
          <w:sz w:val="24"/>
          <w:szCs w:val="24"/>
        </w:rPr>
        <w:t xml:space="preserve">Des démarches ont lieu en ce moment au </w:t>
      </w:r>
      <w:r w:rsidR="00E51423" w:rsidRPr="00E51423">
        <w:rPr>
          <w:sz w:val="24"/>
          <w:szCs w:val="24"/>
        </w:rPr>
        <w:t xml:space="preserve">Réseau québécois de l’action communautaire autonome (RQ-ACA) </w:t>
      </w:r>
      <w:r w:rsidRPr="00A15DC9">
        <w:rPr>
          <w:sz w:val="24"/>
          <w:szCs w:val="24"/>
        </w:rPr>
        <w:t xml:space="preserve">et au </w:t>
      </w:r>
      <w:r w:rsidR="00195F3C">
        <w:rPr>
          <w:sz w:val="24"/>
          <w:szCs w:val="24"/>
        </w:rPr>
        <w:t>Regroupement des organismes en défense collective des droits (</w:t>
      </w:r>
      <w:r w:rsidRPr="00A15DC9">
        <w:rPr>
          <w:sz w:val="24"/>
          <w:szCs w:val="24"/>
        </w:rPr>
        <w:t>RODCD</w:t>
      </w:r>
      <w:r w:rsidR="00195F3C">
        <w:rPr>
          <w:sz w:val="24"/>
          <w:szCs w:val="24"/>
        </w:rPr>
        <w:t>)</w:t>
      </w:r>
      <w:r w:rsidRPr="00A15DC9">
        <w:rPr>
          <w:sz w:val="24"/>
          <w:szCs w:val="24"/>
        </w:rPr>
        <w:t xml:space="preserve"> pour réfléchir </w:t>
      </w:r>
      <w:r w:rsidR="00A15DC9">
        <w:rPr>
          <w:sz w:val="24"/>
          <w:szCs w:val="24"/>
        </w:rPr>
        <w:t xml:space="preserve">aux enjeux de la philanthropie. Ces processus amèneront probablement à des prises de position dans ces deux regroupements dont est membre le MÉPACQ. </w:t>
      </w:r>
    </w:p>
    <w:p w14:paraId="4711FBB0" w14:textId="2EE637BF" w:rsidR="00195F3C" w:rsidRDefault="00A15DC9" w:rsidP="00E04C3C">
      <w:pPr>
        <w:rPr>
          <w:b/>
          <w:sz w:val="24"/>
          <w:szCs w:val="24"/>
        </w:rPr>
      </w:pPr>
      <w:r w:rsidRPr="004D71D6">
        <w:rPr>
          <w:b/>
          <w:sz w:val="24"/>
          <w:szCs w:val="24"/>
        </w:rPr>
        <w:t>Prise</w:t>
      </w:r>
      <w:r w:rsidR="008D16EC">
        <w:rPr>
          <w:b/>
          <w:sz w:val="24"/>
          <w:szCs w:val="24"/>
        </w:rPr>
        <w:t>s</w:t>
      </w:r>
      <w:r w:rsidRPr="004D71D6">
        <w:rPr>
          <w:b/>
          <w:sz w:val="24"/>
          <w:szCs w:val="24"/>
        </w:rPr>
        <w:t xml:space="preserve"> de position</w:t>
      </w:r>
      <w:r w:rsidR="004D71D6">
        <w:rPr>
          <w:b/>
          <w:sz w:val="24"/>
          <w:szCs w:val="24"/>
        </w:rPr>
        <w:t>s</w:t>
      </w:r>
    </w:p>
    <w:p w14:paraId="4D49AA24" w14:textId="76D04FAB" w:rsidR="000E339F" w:rsidRDefault="00195F3C" w:rsidP="00E04C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Dans ce contexte, l</w:t>
      </w:r>
      <w:r w:rsidRPr="003A1DB3">
        <w:rPr>
          <w:sz w:val="24"/>
          <w:szCs w:val="24"/>
        </w:rPr>
        <w:t xml:space="preserve">e MÉPACQ </w:t>
      </w:r>
      <w:r w:rsidR="00E04C3C">
        <w:rPr>
          <w:sz w:val="24"/>
          <w:szCs w:val="24"/>
        </w:rPr>
        <w:t>a consulté se</w:t>
      </w:r>
      <w:r>
        <w:rPr>
          <w:sz w:val="24"/>
          <w:szCs w:val="24"/>
        </w:rPr>
        <w:t xml:space="preserve">s membres </w:t>
      </w:r>
      <w:r w:rsidRPr="003A1DB3">
        <w:rPr>
          <w:sz w:val="24"/>
          <w:szCs w:val="24"/>
        </w:rPr>
        <w:t>afin de prendre des positions sur le sujet de la philanthropie</w:t>
      </w:r>
      <w:r w:rsidR="00E04C3C" w:rsidRPr="00E04C3C">
        <w:rPr>
          <w:sz w:val="24"/>
          <w:szCs w:val="24"/>
        </w:rPr>
        <w:t xml:space="preserve"> </w:t>
      </w:r>
      <w:r w:rsidR="00E04C3C">
        <w:rPr>
          <w:sz w:val="24"/>
          <w:szCs w:val="24"/>
        </w:rPr>
        <w:t>lors d’une assemblée générale</w:t>
      </w:r>
      <w:r w:rsidR="00E04C3C" w:rsidRPr="00195F3C">
        <w:rPr>
          <w:sz w:val="24"/>
          <w:szCs w:val="24"/>
        </w:rPr>
        <w:t xml:space="preserve"> </w:t>
      </w:r>
      <w:r w:rsidR="00E04C3C">
        <w:rPr>
          <w:sz w:val="24"/>
          <w:szCs w:val="24"/>
        </w:rPr>
        <w:t>les 4-5</w:t>
      </w:r>
      <w:r w:rsidR="00E04C3C" w:rsidRPr="00195F3C">
        <w:rPr>
          <w:sz w:val="24"/>
          <w:szCs w:val="24"/>
        </w:rPr>
        <w:t xml:space="preserve"> décembre</w:t>
      </w:r>
      <w:r w:rsidR="00E04C3C">
        <w:rPr>
          <w:sz w:val="24"/>
          <w:szCs w:val="24"/>
        </w:rPr>
        <w:t xml:space="preserve"> 2024</w:t>
      </w:r>
      <w:r w:rsidRPr="003A1DB3">
        <w:rPr>
          <w:sz w:val="24"/>
          <w:szCs w:val="24"/>
        </w:rPr>
        <w:t xml:space="preserve">. </w:t>
      </w:r>
      <w:r>
        <w:rPr>
          <w:sz w:val="24"/>
          <w:szCs w:val="24"/>
        </w:rPr>
        <w:t>Les revendications</w:t>
      </w:r>
      <w:r w:rsidRPr="003A1DB3">
        <w:rPr>
          <w:sz w:val="24"/>
          <w:szCs w:val="24"/>
        </w:rPr>
        <w:t xml:space="preserve"> suivantes </w:t>
      </w:r>
      <w:r>
        <w:rPr>
          <w:sz w:val="24"/>
          <w:szCs w:val="24"/>
        </w:rPr>
        <w:t xml:space="preserve">sont </w:t>
      </w:r>
      <w:r w:rsidR="00E51423">
        <w:rPr>
          <w:sz w:val="24"/>
          <w:szCs w:val="24"/>
        </w:rPr>
        <w:t xml:space="preserve">alimentées par nos travaux des dernières années </w:t>
      </w:r>
      <w:r>
        <w:rPr>
          <w:sz w:val="24"/>
          <w:szCs w:val="24"/>
        </w:rPr>
        <w:t>et sont précédé</w:t>
      </w:r>
      <w:r w:rsidR="007718D7">
        <w:rPr>
          <w:sz w:val="24"/>
          <w:szCs w:val="24"/>
        </w:rPr>
        <w:t>e</w:t>
      </w:r>
      <w:r>
        <w:rPr>
          <w:sz w:val="24"/>
          <w:szCs w:val="24"/>
        </w:rPr>
        <w:t>s des postures du MÉPACQ</w:t>
      </w:r>
      <w:r w:rsidR="00E04C3C" w:rsidRPr="00E04C3C">
        <w:rPr>
          <w:sz w:val="24"/>
          <w:szCs w:val="24"/>
        </w:rPr>
        <w:t xml:space="preserve"> </w:t>
      </w:r>
      <w:r w:rsidR="00E04C3C">
        <w:rPr>
          <w:sz w:val="24"/>
          <w:szCs w:val="24"/>
        </w:rPr>
        <w:t>qui orientent nos actions depuis des années</w:t>
      </w:r>
      <w:r>
        <w:rPr>
          <w:sz w:val="24"/>
          <w:szCs w:val="24"/>
        </w:rPr>
        <w:t>.</w:t>
      </w:r>
      <w:r w:rsidR="000E339F">
        <w:rPr>
          <w:sz w:val="24"/>
          <w:szCs w:val="24"/>
        </w:rPr>
        <w:t xml:space="preserve"> </w:t>
      </w:r>
    </w:p>
    <w:p w14:paraId="59CF577E" w14:textId="037C2058" w:rsidR="000E339F" w:rsidRDefault="00E04C3C" w:rsidP="00FC6438">
      <w:pPr>
        <w:pStyle w:val="Commentaire"/>
        <w:rPr>
          <w:sz w:val="24"/>
          <w:szCs w:val="24"/>
        </w:rPr>
      </w:pPr>
      <w:r w:rsidRPr="00A15DC9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E8B12F" wp14:editId="01EE01E8">
                <wp:simplePos x="0" y="0"/>
                <wp:positionH relativeFrom="margin">
                  <wp:align>left</wp:align>
                </wp:positionH>
                <wp:positionV relativeFrom="paragraph">
                  <wp:posOffset>365125</wp:posOffset>
                </wp:positionV>
                <wp:extent cx="5848350" cy="45910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591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E2B46" w14:textId="77777777" w:rsidR="008D16EC" w:rsidRDefault="00A15DC9" w:rsidP="004D71D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04C3C">
                              <w:rPr>
                                <w:b/>
                                <w:highlight w:val="yellow"/>
                              </w:rPr>
                              <w:t>*Attention*</w:t>
                            </w:r>
                          </w:p>
                          <w:p w14:paraId="41E34AF7" w14:textId="237610DF" w:rsidR="004D71D6" w:rsidRPr="001A020D" w:rsidRDefault="00A15DC9" w:rsidP="004D71D6">
                            <w:pPr>
                              <w:jc w:val="center"/>
                            </w:pPr>
                            <w:r w:rsidRPr="001A020D">
                              <w:t>La pr</w:t>
                            </w:r>
                            <w:r w:rsidR="00FC6438">
                              <w:t>ésente démarche et les revendications</w:t>
                            </w:r>
                            <w:r w:rsidRPr="001A020D">
                              <w:t xml:space="preserve"> qui </w:t>
                            </w:r>
                            <w:r w:rsidR="00E04C3C">
                              <w:t>ont émergées</w:t>
                            </w:r>
                            <w:r w:rsidRPr="001A020D">
                              <w:t xml:space="preserve"> ne visent</w:t>
                            </w:r>
                            <w:r w:rsidR="008D16EC">
                              <w:t xml:space="preserve"> aucunement à pointer du doigt l</w:t>
                            </w:r>
                            <w:r w:rsidRPr="001A020D">
                              <w:t>es groupes communautaires</w:t>
                            </w:r>
                            <w:r w:rsidR="008D16EC">
                              <w:t xml:space="preserve"> qui réfléchissent ou acceptent de l’argent des fondations</w:t>
                            </w:r>
                            <w:r w:rsidRPr="001A020D">
                              <w:t xml:space="preserve">. C’est le sous-financement chronique du communautaire par le gouvernement qui nous met dans </w:t>
                            </w:r>
                            <w:r w:rsidR="008D16EC">
                              <w:t xml:space="preserve">une </w:t>
                            </w:r>
                            <w:r w:rsidRPr="001A020D">
                              <w:t>situation de précarité financière intenable. De la même manière qu’on critique le gouvernement pour la privatisation du système de santé</w:t>
                            </w:r>
                            <w:r w:rsidR="005344FD">
                              <w:t>,</w:t>
                            </w:r>
                            <w:r w:rsidRPr="001A020D">
                              <w:t xml:space="preserve"> sans blâmer les individus qui essaie</w:t>
                            </w:r>
                            <w:r w:rsidR="008D16EC">
                              <w:t>nt</w:t>
                            </w:r>
                            <w:r w:rsidRPr="001A020D">
                              <w:t xml:space="preserve"> d’accéder à des soins par le privé</w:t>
                            </w:r>
                            <w:r w:rsidR="002A35A8">
                              <w:t>,</w:t>
                            </w:r>
                            <w:r w:rsidRPr="001A020D">
                              <w:t xml:space="preserve"> faute de choix. </w:t>
                            </w:r>
                          </w:p>
                          <w:p w14:paraId="47BFCEEE" w14:textId="4F7C0D21" w:rsidR="004D71D6" w:rsidRPr="001A020D" w:rsidRDefault="004D71D6" w:rsidP="004D71D6">
                            <w:pPr>
                              <w:jc w:val="center"/>
                            </w:pPr>
                            <w:r w:rsidRPr="001A020D">
                              <w:t xml:space="preserve">Le gouvernement et le milieu des affaires tirent avantage à diviser pour mieux régner. Le financement des fondations </w:t>
                            </w:r>
                            <w:r w:rsidR="00861055">
                              <w:t xml:space="preserve">ne sera jamais </w:t>
                            </w:r>
                            <w:r w:rsidRPr="001A020D">
                              <w:t>du financement public à la mission. Des groupes auront de l’argent, d’autres non. Le moteur de not</w:t>
                            </w:r>
                            <w:r w:rsidR="004D6E29">
                              <w:t>re démarche est la solidarité,</w:t>
                            </w:r>
                            <w:r w:rsidRPr="001A020D">
                              <w:t xml:space="preserve"> l</w:t>
                            </w:r>
                            <w:r w:rsidR="004D6E29">
                              <w:t>a volonté</w:t>
                            </w:r>
                            <w:r w:rsidRPr="001A020D">
                              <w:t xml:space="preserve"> d</w:t>
                            </w:r>
                            <w:r w:rsidR="004D6E29">
                              <w:t>e ne laisser personne derrière</w:t>
                            </w:r>
                            <w:r w:rsidR="00195F3C">
                              <w:t>, d’adopter une posture critique</w:t>
                            </w:r>
                            <w:r w:rsidR="004D6E29">
                              <w:t xml:space="preserve"> et de mettre au cœur de cet enjeu notre mission de transformation sociale. </w:t>
                            </w:r>
                          </w:p>
                          <w:p w14:paraId="24725B33" w14:textId="3697A1EF" w:rsidR="006A2692" w:rsidRDefault="006A2692" w:rsidP="004D71D6">
                            <w:pPr>
                              <w:jc w:val="center"/>
                              <w:rPr>
                                <w:rStyle w:val="Lienhypertexte"/>
                              </w:rPr>
                            </w:pPr>
                            <w:r w:rsidRPr="001A020D">
                              <w:t xml:space="preserve">Pour mieux comprendre les </w:t>
                            </w:r>
                            <w:r w:rsidR="00E04C3C">
                              <w:t>revendications</w:t>
                            </w:r>
                            <w:r w:rsidRPr="001A020D">
                              <w:t xml:space="preserve">, on vous invite à consulter notre guide sur le sujet : </w:t>
                            </w:r>
                            <w:hyperlink r:id="rId14" w:history="1">
                              <w:r w:rsidRPr="001A020D">
                                <w:rPr>
                                  <w:rStyle w:val="Lienhypertexte"/>
                                </w:rPr>
                                <w:t>Quand le monde des affaires se mêle de nos affaires</w:t>
                              </w:r>
                            </w:hyperlink>
                          </w:p>
                          <w:p w14:paraId="29DE27BB" w14:textId="68E415B9" w:rsidR="00E04C3C" w:rsidRDefault="00E04C3C" w:rsidP="004D71D6">
                            <w:pPr>
                              <w:jc w:val="center"/>
                              <w:rPr>
                                <w:rStyle w:val="Lienhypertexte"/>
                              </w:rPr>
                            </w:pPr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1122456F" wp14:editId="12C3C6B3">
                                  <wp:extent cx="1073150" cy="1388677"/>
                                  <wp:effectExtent l="0" t="0" r="0" b="2540"/>
                                  <wp:docPr id="2" name="Image 2" descr="https://mepacq.qc.ca/wp-content/uploads/2023/12/2023-Outil-philanthropie-791x102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mepacq.qc.ca/wp-content/uploads/2023/12/2023-Outil-philanthropie-791x102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7416" cy="14071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B6BE4D" w14:textId="77777777" w:rsidR="00E04C3C" w:rsidRDefault="00E04C3C" w:rsidP="004D71D6">
                            <w:pPr>
                              <w:jc w:val="center"/>
                              <w:rPr>
                                <w:rStyle w:val="Lienhypertexte"/>
                              </w:rPr>
                            </w:pPr>
                          </w:p>
                          <w:p w14:paraId="39AF7DD1" w14:textId="77777777" w:rsidR="00E04C3C" w:rsidRDefault="00E04C3C" w:rsidP="004D71D6">
                            <w:pPr>
                              <w:jc w:val="center"/>
                              <w:rPr>
                                <w:rStyle w:val="Lienhypertexte"/>
                              </w:rPr>
                            </w:pPr>
                          </w:p>
                          <w:p w14:paraId="5FE0AD3E" w14:textId="77777777" w:rsidR="00E04C3C" w:rsidRDefault="00E04C3C" w:rsidP="004D71D6">
                            <w:pPr>
                              <w:jc w:val="center"/>
                              <w:rPr>
                                <w:rStyle w:val="Lienhypertexte"/>
                              </w:rPr>
                            </w:pPr>
                          </w:p>
                          <w:p w14:paraId="49631291" w14:textId="4A6A0CF3" w:rsidR="00E04C3C" w:rsidRPr="001A020D" w:rsidRDefault="00E04C3C" w:rsidP="004D71D6">
                            <w:pPr>
                              <w:jc w:val="center"/>
                            </w:pPr>
                          </w:p>
                          <w:p w14:paraId="52218C18" w14:textId="77777777" w:rsidR="006A2692" w:rsidRDefault="006A2692" w:rsidP="004D71D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084304" w14:textId="77777777" w:rsidR="006A2692" w:rsidRPr="006A2692" w:rsidRDefault="006A2692" w:rsidP="004D71D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3FFE98A" w14:textId="77777777" w:rsidR="00A15DC9" w:rsidRDefault="00A15D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8B12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8.75pt;width:460.5pt;height:361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0kFSQIAAMMEAAAOAAAAZHJzL2Uyb0RvYy54bWysVNuO0zAQfUfiHyy/01xo2W7UdLV0ASEt&#10;F7HwwpvrTJpoHY+xvU3K1zN22my5SEiIF8vOzDlz5pbV1dAptgfrWtQlz2YpZ6AlVq3elfzL59fP&#10;lpw5L3QlFGoo+QEcv1o/fbLqTQE5NqgqsIxItCt6U/LGe1MkiZMNdMLN0IAmY422E56edpdUVvTE&#10;3qkkT9MXSY+2MhYlOEdfb0YjX0f+ugbpP9S1A89UyUmbj6eN5zacyXolip0VpmnlUYb4BxWdaDUF&#10;nahuhBfswba/UXWttOiw9jOJXYJ13UqIOVA2WfpLNneNMBBzoeI4M5XJ/T9a+X7/0bK2KnmeXXCm&#10;RUdN+kqtYhUwD4MHloci9cYV5HtnyNsPL3GgZseEnblFee+Yxk0j9A6urcW+AVGRyCwgkzPoyOMC&#10;ybZ/hxXFEg8eI9FQ2y5UkGrCiJ2adZgaRDqYpI+L5Xz5fEEmSbb54jJL6RFiiOIEN9b5N4AdC5eS&#10;W5qASC/2t86PrieXEE3pcAa9r3RFZlF40arxTqzBHBMImo/q/UHBCP0ENZWOdOVjKcLQwkZZthc0&#10;bkJK0D5WLzKRd4DVrVIT8FjDn4HKj4WbfAMM4jBPwPTvESdEjIraT+Cu1Wj/RFDdT5FH/1P2Y86h&#10;k37YDlSncN1idaBOWhy3iv4CdGnQfuesp40qufv2ICxwpt5qmobLbD4PKxgf88VFTg97btmeW4SW&#10;RFVyz9l43fi4tiEZjdc0NXUb+/mo5CiWNiVOxHGrwyqev6PX479n/QMAAP//AwBQSwMEFAAGAAgA&#10;AAAhABioUvDcAAAABwEAAA8AAABkcnMvZG93bnJldi54bWxMj0FPwzAMhe9I/IfISNxYurHSUZpO&#10;0yS4caAgcc0aL61onCpJt8Kvx5zY0e/Z732utrMbxAlD7D0pWC4yEEitNz1ZBR/vz3cbEDFpMnrw&#10;hAq+McK2vr6qdGn8md7w1CQrOIRiqRV0KY2llLHt0Om48CMSe0cfnE48BitN0GcOd4NcZdmDdLon&#10;buj0iPsO269mcowRGjPsd5P9XM/3x5918fpiQ1Lq9mbePYFIOKf/ZfjD5xuomengJzJRDAr4kaQg&#10;L3IQ7D6uliwcFBSbLAdZV/KSv/4FAAD//wMAUEsBAi0AFAAGAAgAAAAhALaDOJL+AAAA4QEAABMA&#10;AAAAAAAAAAAAAAAAAAAAAFtDb250ZW50X1R5cGVzXS54bWxQSwECLQAUAAYACAAAACEAOP0h/9YA&#10;AACUAQAACwAAAAAAAAAAAAAAAAAvAQAAX3JlbHMvLnJlbHNQSwECLQAUAAYACAAAACEA9tdJBUkC&#10;AADDBAAADgAAAAAAAAAAAAAAAAAuAgAAZHJzL2Uyb0RvYy54bWxQSwECLQAUAAYACAAAACEAGKhS&#10;8NwAAAAHAQAADwAAAAAAAAAAAAAAAACjBAAAZHJzL2Rvd25yZXYueG1sUEsFBgAAAAAEAAQA8wAA&#10;AKwFAAAAAA==&#10;" fillcolor="white [3201]" strokecolor="#ed7d31 [3205]" strokeweight="1pt">
                <v:textbox>
                  <w:txbxContent>
                    <w:p w14:paraId="5B3E2B46" w14:textId="77777777" w:rsidR="008D16EC" w:rsidRDefault="00A15DC9" w:rsidP="004D71D6">
                      <w:pPr>
                        <w:jc w:val="center"/>
                        <w:rPr>
                          <w:b/>
                        </w:rPr>
                      </w:pPr>
                      <w:r w:rsidRPr="00E04C3C">
                        <w:rPr>
                          <w:b/>
                          <w:highlight w:val="yellow"/>
                        </w:rPr>
                        <w:t>*Attention*</w:t>
                      </w:r>
                    </w:p>
                    <w:p w14:paraId="41E34AF7" w14:textId="237610DF" w:rsidR="004D71D6" w:rsidRPr="001A020D" w:rsidRDefault="00A15DC9" w:rsidP="004D71D6">
                      <w:pPr>
                        <w:jc w:val="center"/>
                      </w:pPr>
                      <w:r w:rsidRPr="001A020D">
                        <w:t>La pr</w:t>
                      </w:r>
                      <w:r w:rsidR="00FC6438">
                        <w:t>ésente démarche et les revendications</w:t>
                      </w:r>
                      <w:r w:rsidRPr="001A020D">
                        <w:t xml:space="preserve"> qui </w:t>
                      </w:r>
                      <w:r w:rsidR="00E04C3C">
                        <w:t>ont émergées</w:t>
                      </w:r>
                      <w:r w:rsidRPr="001A020D">
                        <w:t xml:space="preserve"> ne visent</w:t>
                      </w:r>
                      <w:r w:rsidR="008D16EC">
                        <w:t xml:space="preserve"> aucunement à pointer du doigt l</w:t>
                      </w:r>
                      <w:r w:rsidRPr="001A020D">
                        <w:t>es groupes communautaires</w:t>
                      </w:r>
                      <w:r w:rsidR="008D16EC">
                        <w:t xml:space="preserve"> qui réfléchissent ou acceptent de l’argent des fondations</w:t>
                      </w:r>
                      <w:r w:rsidRPr="001A020D">
                        <w:t xml:space="preserve">. C’est le sous-financement chronique du communautaire par le gouvernement qui nous met dans </w:t>
                      </w:r>
                      <w:r w:rsidR="008D16EC">
                        <w:t xml:space="preserve">une </w:t>
                      </w:r>
                      <w:r w:rsidRPr="001A020D">
                        <w:t>situation de précarité financière intenable. De la même manière qu’on critique le gouvernement pour la privatisation du système de santé</w:t>
                      </w:r>
                      <w:r w:rsidR="005344FD">
                        <w:t>,</w:t>
                      </w:r>
                      <w:r w:rsidRPr="001A020D">
                        <w:t xml:space="preserve"> sans blâmer les individus qui essaie</w:t>
                      </w:r>
                      <w:r w:rsidR="008D16EC">
                        <w:t>nt</w:t>
                      </w:r>
                      <w:r w:rsidRPr="001A020D">
                        <w:t xml:space="preserve"> d’accéder à des soins par le privé</w:t>
                      </w:r>
                      <w:r w:rsidR="002A35A8">
                        <w:t>,</w:t>
                      </w:r>
                      <w:r w:rsidRPr="001A020D">
                        <w:t xml:space="preserve"> faute de choix. </w:t>
                      </w:r>
                    </w:p>
                    <w:p w14:paraId="47BFCEEE" w14:textId="4F7C0D21" w:rsidR="004D71D6" w:rsidRPr="001A020D" w:rsidRDefault="004D71D6" w:rsidP="004D71D6">
                      <w:pPr>
                        <w:jc w:val="center"/>
                      </w:pPr>
                      <w:r w:rsidRPr="001A020D">
                        <w:t xml:space="preserve">Le gouvernement et le milieu des affaires tirent avantage à diviser pour mieux régner. Le financement des fondations </w:t>
                      </w:r>
                      <w:r w:rsidR="00861055">
                        <w:t xml:space="preserve">ne sera jamais </w:t>
                      </w:r>
                      <w:r w:rsidRPr="001A020D">
                        <w:t>du financement public à la mission. Des groupes auront de l’argent, d’autres non. Le moteur de not</w:t>
                      </w:r>
                      <w:r w:rsidR="004D6E29">
                        <w:t>re démarche est la solidarité,</w:t>
                      </w:r>
                      <w:r w:rsidRPr="001A020D">
                        <w:t xml:space="preserve"> l</w:t>
                      </w:r>
                      <w:r w:rsidR="004D6E29">
                        <w:t>a volonté</w:t>
                      </w:r>
                      <w:r w:rsidRPr="001A020D">
                        <w:t xml:space="preserve"> d</w:t>
                      </w:r>
                      <w:r w:rsidR="004D6E29">
                        <w:t>e ne laisser personne derrière</w:t>
                      </w:r>
                      <w:r w:rsidR="00195F3C">
                        <w:t>, d’adopter une posture critique</w:t>
                      </w:r>
                      <w:r w:rsidR="004D6E29">
                        <w:t xml:space="preserve"> et de mettre au cœur de cet enjeu notre mission de transformation sociale. </w:t>
                      </w:r>
                    </w:p>
                    <w:p w14:paraId="24725B33" w14:textId="3697A1EF" w:rsidR="006A2692" w:rsidRDefault="006A2692" w:rsidP="004D71D6">
                      <w:pPr>
                        <w:jc w:val="center"/>
                        <w:rPr>
                          <w:rStyle w:val="Lienhypertexte"/>
                        </w:rPr>
                      </w:pPr>
                      <w:r w:rsidRPr="001A020D">
                        <w:t xml:space="preserve">Pour mieux comprendre les </w:t>
                      </w:r>
                      <w:r w:rsidR="00E04C3C">
                        <w:t>revendications</w:t>
                      </w:r>
                      <w:r w:rsidRPr="001A020D">
                        <w:t xml:space="preserve">, on vous invite à consulter notre guide sur le sujet : </w:t>
                      </w:r>
                      <w:hyperlink r:id="rId16" w:history="1">
                        <w:r w:rsidRPr="001A020D">
                          <w:rPr>
                            <w:rStyle w:val="Lienhypertexte"/>
                          </w:rPr>
                          <w:t>Quand le monde des affaires se mêle de nos affaires</w:t>
                        </w:r>
                      </w:hyperlink>
                    </w:p>
                    <w:p w14:paraId="29DE27BB" w14:textId="68E415B9" w:rsidR="00E04C3C" w:rsidRDefault="00E04C3C" w:rsidP="004D71D6">
                      <w:pPr>
                        <w:jc w:val="center"/>
                        <w:rPr>
                          <w:rStyle w:val="Lienhypertexte"/>
                        </w:rPr>
                      </w:pPr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 wp14:anchorId="1122456F" wp14:editId="12C3C6B3">
                            <wp:extent cx="1073150" cy="1388677"/>
                            <wp:effectExtent l="0" t="0" r="0" b="2540"/>
                            <wp:docPr id="2" name="Image 2" descr="https://mepacq.qc.ca/wp-content/uploads/2023/12/2023-Outil-philanthropie-791x102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mepacq.qc.ca/wp-content/uploads/2023/12/2023-Outil-philanthropie-791x102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7416" cy="14071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B6BE4D" w14:textId="77777777" w:rsidR="00E04C3C" w:rsidRDefault="00E04C3C" w:rsidP="004D71D6">
                      <w:pPr>
                        <w:jc w:val="center"/>
                        <w:rPr>
                          <w:rStyle w:val="Lienhypertexte"/>
                        </w:rPr>
                      </w:pPr>
                    </w:p>
                    <w:p w14:paraId="39AF7DD1" w14:textId="77777777" w:rsidR="00E04C3C" w:rsidRDefault="00E04C3C" w:rsidP="004D71D6">
                      <w:pPr>
                        <w:jc w:val="center"/>
                        <w:rPr>
                          <w:rStyle w:val="Lienhypertexte"/>
                        </w:rPr>
                      </w:pPr>
                    </w:p>
                    <w:p w14:paraId="5FE0AD3E" w14:textId="77777777" w:rsidR="00E04C3C" w:rsidRDefault="00E04C3C" w:rsidP="004D71D6">
                      <w:pPr>
                        <w:jc w:val="center"/>
                        <w:rPr>
                          <w:rStyle w:val="Lienhypertexte"/>
                        </w:rPr>
                      </w:pPr>
                    </w:p>
                    <w:p w14:paraId="49631291" w14:textId="4A6A0CF3" w:rsidR="00E04C3C" w:rsidRPr="001A020D" w:rsidRDefault="00E04C3C" w:rsidP="004D71D6">
                      <w:pPr>
                        <w:jc w:val="center"/>
                      </w:pPr>
                    </w:p>
                    <w:p w14:paraId="52218C18" w14:textId="77777777" w:rsidR="006A2692" w:rsidRDefault="006A2692" w:rsidP="004D71D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C084304" w14:textId="77777777" w:rsidR="006A2692" w:rsidRPr="006A2692" w:rsidRDefault="006A2692" w:rsidP="004D71D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3FFE98A" w14:textId="77777777" w:rsidR="00A15DC9" w:rsidRDefault="00A15DC9"/>
                  </w:txbxContent>
                </v:textbox>
                <w10:wrap type="square" anchorx="margin"/>
              </v:shape>
            </w:pict>
          </mc:Fallback>
        </mc:AlternateContent>
      </w:r>
    </w:p>
    <w:p w14:paraId="767A2451" w14:textId="2311F8A2" w:rsidR="00215272" w:rsidRDefault="00215272" w:rsidP="001A020D">
      <w:pPr>
        <w:spacing w:line="240" w:lineRule="auto"/>
        <w:rPr>
          <w:sz w:val="24"/>
          <w:szCs w:val="24"/>
          <w:u w:val="single"/>
        </w:rPr>
      </w:pPr>
    </w:p>
    <w:p w14:paraId="70A056A8" w14:textId="77777777" w:rsidR="00FC6438" w:rsidRDefault="00FC6438" w:rsidP="001A020D">
      <w:pPr>
        <w:spacing w:line="240" w:lineRule="auto"/>
        <w:rPr>
          <w:sz w:val="24"/>
          <w:szCs w:val="24"/>
          <w:u w:val="single"/>
        </w:rPr>
      </w:pPr>
    </w:p>
    <w:p w14:paraId="64301B64" w14:textId="77777777" w:rsidR="00B77306" w:rsidRDefault="00B77306" w:rsidP="001A020D">
      <w:pPr>
        <w:spacing w:line="240" w:lineRule="auto"/>
        <w:rPr>
          <w:sz w:val="24"/>
          <w:szCs w:val="24"/>
          <w:u w:val="single"/>
        </w:rPr>
      </w:pPr>
    </w:p>
    <w:p w14:paraId="599D51C6" w14:textId="0371FCBA" w:rsidR="00215272" w:rsidRPr="00173CE2" w:rsidRDefault="00215272" w:rsidP="001A020D">
      <w:pPr>
        <w:spacing w:line="240" w:lineRule="auto"/>
        <w:rPr>
          <w:b/>
          <w:sz w:val="28"/>
          <w:szCs w:val="28"/>
          <w:u w:val="single"/>
        </w:rPr>
      </w:pPr>
      <w:r w:rsidRPr="00173CE2">
        <w:rPr>
          <w:b/>
          <w:sz w:val="28"/>
          <w:szCs w:val="28"/>
          <w:u w:val="single"/>
        </w:rPr>
        <w:t xml:space="preserve">Postures historiques </w:t>
      </w:r>
    </w:p>
    <w:p w14:paraId="171E1198" w14:textId="660BF14C" w:rsidR="004D71D6" w:rsidRPr="00215272" w:rsidRDefault="00D62029" w:rsidP="00215272">
      <w:pPr>
        <w:pStyle w:val="cvgsua"/>
        <w:numPr>
          <w:ilvl w:val="0"/>
          <w:numId w:val="5"/>
        </w:numPr>
        <w:rPr>
          <w:rFonts w:asciiTheme="minorHAnsi" w:eastAsiaTheme="minorHAnsi" w:hAnsiTheme="minorHAnsi" w:cstheme="minorBidi"/>
          <w:lang w:eastAsia="en-US"/>
        </w:rPr>
      </w:pPr>
      <w:r w:rsidRPr="00D62029">
        <w:rPr>
          <w:rFonts w:asciiTheme="minorHAnsi" w:eastAsiaTheme="minorHAnsi" w:hAnsiTheme="minorHAnsi" w:cstheme="minorBidi"/>
          <w:lang w:eastAsia="en-US"/>
        </w:rPr>
        <w:t>Revendique de</w:t>
      </w:r>
      <w:r>
        <w:rPr>
          <w:rFonts w:asciiTheme="minorHAnsi" w:eastAsiaTheme="minorHAnsi" w:hAnsiTheme="minorHAnsi" w:cstheme="minorBidi"/>
          <w:b/>
          <w:lang w:eastAsia="en-US"/>
        </w:rPr>
        <w:t xml:space="preserve"> t</w:t>
      </w:r>
      <w:r w:rsidR="00215272" w:rsidRPr="00215272">
        <w:rPr>
          <w:rFonts w:asciiTheme="minorHAnsi" w:eastAsiaTheme="minorHAnsi" w:hAnsiTheme="minorHAnsi" w:cstheme="minorBidi"/>
          <w:b/>
          <w:lang w:eastAsia="en-US"/>
        </w:rPr>
        <w:t>axer massivement la richesse</w:t>
      </w:r>
      <w:r w:rsidR="00215272" w:rsidRPr="00215272">
        <w:rPr>
          <w:rFonts w:asciiTheme="minorHAnsi" w:eastAsiaTheme="minorHAnsi" w:hAnsiTheme="minorHAnsi" w:cstheme="minorBidi"/>
          <w:lang w:eastAsia="en-US"/>
        </w:rPr>
        <w:t xml:space="preserve"> et </w:t>
      </w:r>
      <w:r>
        <w:rPr>
          <w:rFonts w:asciiTheme="minorHAnsi" w:eastAsiaTheme="minorHAnsi" w:hAnsiTheme="minorHAnsi" w:cstheme="minorBidi"/>
          <w:lang w:eastAsia="en-US"/>
        </w:rPr>
        <w:t xml:space="preserve">de </w:t>
      </w:r>
      <w:r w:rsidR="00215272" w:rsidRPr="00215272">
        <w:rPr>
          <w:rFonts w:asciiTheme="minorHAnsi" w:eastAsiaTheme="minorHAnsi" w:hAnsiTheme="minorHAnsi" w:cstheme="minorBidi"/>
          <w:b/>
          <w:lang w:eastAsia="en-US"/>
        </w:rPr>
        <w:t>réinvestir massivement dans le filet social</w:t>
      </w:r>
      <w:r w:rsidR="00215272">
        <w:rPr>
          <w:rFonts w:asciiTheme="minorHAnsi" w:eastAsiaTheme="minorHAnsi" w:hAnsiTheme="minorHAnsi" w:cstheme="minorBidi"/>
          <w:lang w:eastAsia="en-US"/>
        </w:rPr>
        <w:t xml:space="preserve"> </w:t>
      </w:r>
      <w:r w:rsidR="00215272" w:rsidRPr="003A1DB3">
        <w:rPr>
          <w:rFonts w:asciiTheme="minorHAnsi" w:eastAsiaTheme="minorHAnsi" w:hAnsiTheme="minorHAnsi" w:cstheme="minorBidi"/>
          <w:lang w:eastAsia="en-US"/>
        </w:rPr>
        <w:t>(programmes sociaux, services publics et le communautaire)</w:t>
      </w:r>
      <w:r w:rsidR="00215272" w:rsidRPr="00215272">
        <w:rPr>
          <w:rFonts w:asciiTheme="minorHAnsi" w:eastAsiaTheme="minorHAnsi" w:hAnsiTheme="minorHAnsi" w:cstheme="minorBidi"/>
          <w:lang w:eastAsia="en-US"/>
        </w:rPr>
        <w:t>, afin d’assurer des conditions de vie décentes pour toutes et</w:t>
      </w:r>
      <w:r w:rsidR="00215272">
        <w:rPr>
          <w:rFonts w:asciiTheme="minorHAnsi" w:eastAsiaTheme="minorHAnsi" w:hAnsiTheme="minorHAnsi" w:cstheme="minorBidi"/>
          <w:lang w:eastAsia="en-US"/>
        </w:rPr>
        <w:t xml:space="preserve"> tous. </w:t>
      </w:r>
    </w:p>
    <w:p w14:paraId="7795BA46" w14:textId="2F61EF56" w:rsidR="004D71D6" w:rsidRPr="003A1DB3" w:rsidRDefault="00215272" w:rsidP="001A020D">
      <w:pPr>
        <w:pStyle w:val="cvgsua"/>
        <w:numPr>
          <w:ilvl w:val="0"/>
          <w:numId w:val="5"/>
        </w:numPr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Affirme</w:t>
      </w:r>
      <w:r w:rsidR="004D71D6" w:rsidRPr="003A1DB3">
        <w:rPr>
          <w:rFonts w:asciiTheme="minorHAnsi" w:eastAsiaTheme="minorHAnsi" w:hAnsiTheme="minorHAnsi" w:cstheme="minorBidi"/>
          <w:lang w:eastAsia="en-US"/>
        </w:rPr>
        <w:t xml:space="preserve"> que c’est la </w:t>
      </w:r>
      <w:r w:rsidR="004D71D6" w:rsidRPr="003A1DB3">
        <w:rPr>
          <w:rFonts w:asciiTheme="minorHAnsi" w:eastAsiaTheme="minorHAnsi" w:hAnsiTheme="minorHAnsi" w:cstheme="minorBidi"/>
          <w:b/>
          <w:lang w:eastAsia="en-US"/>
        </w:rPr>
        <w:t xml:space="preserve">responsabilité </w:t>
      </w:r>
      <w:r w:rsidR="00545781" w:rsidRPr="003A1DB3">
        <w:rPr>
          <w:rFonts w:asciiTheme="minorHAnsi" w:eastAsiaTheme="minorHAnsi" w:hAnsiTheme="minorHAnsi" w:cstheme="minorBidi"/>
          <w:b/>
          <w:lang w:eastAsia="en-US"/>
        </w:rPr>
        <w:t>de l’État</w:t>
      </w:r>
      <w:r w:rsidR="00545781" w:rsidRPr="003A1DB3">
        <w:rPr>
          <w:rFonts w:asciiTheme="minorHAnsi" w:eastAsiaTheme="minorHAnsi" w:hAnsiTheme="minorHAnsi" w:cstheme="minorBidi"/>
          <w:lang w:eastAsia="en-US"/>
        </w:rPr>
        <w:t xml:space="preserve"> et des gouvernements</w:t>
      </w:r>
      <w:r w:rsidR="004D71D6" w:rsidRPr="003A1DB3">
        <w:rPr>
          <w:rFonts w:asciiTheme="minorHAnsi" w:eastAsiaTheme="minorHAnsi" w:hAnsiTheme="minorHAnsi" w:cstheme="minorBidi"/>
          <w:lang w:eastAsia="en-US"/>
        </w:rPr>
        <w:t xml:space="preserve"> de s’assurer du bien commun</w:t>
      </w:r>
      <w:r w:rsidR="00545781" w:rsidRPr="003A1DB3">
        <w:rPr>
          <w:rFonts w:asciiTheme="minorHAnsi" w:eastAsiaTheme="minorHAnsi" w:hAnsiTheme="minorHAnsi" w:cstheme="minorBidi"/>
          <w:lang w:eastAsia="en-US"/>
        </w:rPr>
        <w:t xml:space="preserve"> et de renforcer le filet social</w:t>
      </w:r>
      <w:r w:rsidR="00E17966" w:rsidRPr="003A1DB3">
        <w:rPr>
          <w:rFonts w:asciiTheme="minorHAnsi" w:eastAsiaTheme="minorHAnsi" w:hAnsiTheme="minorHAnsi" w:cstheme="minorBidi"/>
          <w:lang w:eastAsia="en-US"/>
        </w:rPr>
        <w:t xml:space="preserve">. </w:t>
      </w:r>
    </w:p>
    <w:p w14:paraId="46180943" w14:textId="35590D41" w:rsidR="00545781" w:rsidRPr="003A1DB3" w:rsidRDefault="00215272" w:rsidP="001A020D">
      <w:pPr>
        <w:pStyle w:val="cvgsua"/>
        <w:numPr>
          <w:ilvl w:val="0"/>
          <w:numId w:val="5"/>
        </w:numPr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Considère</w:t>
      </w:r>
      <w:r w:rsidR="00545781" w:rsidRPr="003A1DB3">
        <w:rPr>
          <w:rFonts w:asciiTheme="minorHAnsi" w:eastAsiaTheme="minorHAnsi" w:hAnsiTheme="minorHAnsi" w:cstheme="minorBidi"/>
          <w:lang w:eastAsia="en-US"/>
        </w:rPr>
        <w:t xml:space="preserve"> la culture philanthropique comme une forme de </w:t>
      </w:r>
      <w:r w:rsidR="00545781" w:rsidRPr="003A1DB3">
        <w:rPr>
          <w:rFonts w:asciiTheme="minorHAnsi" w:eastAsiaTheme="minorHAnsi" w:hAnsiTheme="minorHAnsi" w:cstheme="minorBidi"/>
          <w:b/>
          <w:lang w:eastAsia="en-US"/>
        </w:rPr>
        <w:t>privatisation du filet social</w:t>
      </w:r>
      <w:r w:rsidR="00E17966" w:rsidRPr="003A1DB3">
        <w:rPr>
          <w:rFonts w:asciiTheme="minorHAnsi" w:eastAsiaTheme="minorHAnsi" w:hAnsiTheme="minorHAnsi" w:cstheme="minorBidi"/>
          <w:lang w:eastAsia="en-US"/>
        </w:rPr>
        <w:t xml:space="preserve"> et </w:t>
      </w:r>
      <w:r>
        <w:rPr>
          <w:rFonts w:asciiTheme="minorHAnsi" w:eastAsiaTheme="minorHAnsi" w:hAnsiTheme="minorHAnsi" w:cstheme="minorBidi"/>
          <w:lang w:eastAsia="en-US"/>
        </w:rPr>
        <w:t xml:space="preserve">une tendance qui sert à </w:t>
      </w:r>
      <w:r w:rsidR="00E17966" w:rsidRPr="003A1DB3">
        <w:rPr>
          <w:rFonts w:asciiTheme="minorHAnsi" w:eastAsiaTheme="minorHAnsi" w:hAnsiTheme="minorHAnsi" w:cstheme="minorBidi"/>
          <w:lang w:eastAsia="en-US"/>
        </w:rPr>
        <w:t>justifier le désengagement de l’</w:t>
      </w:r>
      <w:r w:rsidR="006A2692" w:rsidRPr="003A1DB3">
        <w:rPr>
          <w:rFonts w:asciiTheme="minorHAnsi" w:eastAsiaTheme="minorHAnsi" w:hAnsiTheme="minorHAnsi" w:cstheme="minorBidi"/>
          <w:lang w:eastAsia="en-US"/>
        </w:rPr>
        <w:t>É</w:t>
      </w:r>
      <w:r w:rsidR="00E17966" w:rsidRPr="003A1DB3">
        <w:rPr>
          <w:rFonts w:asciiTheme="minorHAnsi" w:eastAsiaTheme="minorHAnsi" w:hAnsiTheme="minorHAnsi" w:cstheme="minorBidi"/>
          <w:lang w:eastAsia="en-US"/>
        </w:rPr>
        <w:t>tat et l’austérité</w:t>
      </w:r>
      <w:r w:rsidR="00140582" w:rsidRPr="003A1DB3">
        <w:rPr>
          <w:rFonts w:asciiTheme="minorHAnsi" w:eastAsiaTheme="minorHAnsi" w:hAnsiTheme="minorHAnsi" w:cstheme="minorBidi"/>
          <w:lang w:eastAsia="en-US"/>
        </w:rPr>
        <w:t>.</w:t>
      </w:r>
    </w:p>
    <w:p w14:paraId="232836AB" w14:textId="0EE43C80" w:rsidR="004D71D6" w:rsidRPr="003A1DB3" w:rsidRDefault="00E17966" w:rsidP="001A020D">
      <w:pPr>
        <w:pStyle w:val="cvgsua"/>
        <w:numPr>
          <w:ilvl w:val="0"/>
          <w:numId w:val="5"/>
        </w:numPr>
        <w:rPr>
          <w:rFonts w:asciiTheme="minorHAnsi" w:eastAsiaTheme="minorHAnsi" w:hAnsiTheme="minorHAnsi" w:cstheme="minorBidi"/>
          <w:lang w:eastAsia="en-US"/>
        </w:rPr>
      </w:pPr>
      <w:r w:rsidRPr="003A1DB3">
        <w:rPr>
          <w:rFonts w:asciiTheme="minorHAnsi" w:eastAsiaTheme="minorHAnsi" w:hAnsiTheme="minorHAnsi" w:cstheme="minorBidi"/>
          <w:lang w:eastAsia="en-US"/>
        </w:rPr>
        <w:t xml:space="preserve">Dénonce </w:t>
      </w:r>
      <w:r w:rsidRPr="003A1DB3">
        <w:rPr>
          <w:rFonts w:asciiTheme="minorHAnsi" w:eastAsiaTheme="minorHAnsi" w:hAnsiTheme="minorHAnsi" w:cstheme="minorBidi"/>
          <w:b/>
          <w:lang w:eastAsia="en-US"/>
        </w:rPr>
        <w:t>l’évitement fiscal</w:t>
      </w:r>
      <w:r w:rsidRPr="003A1DB3">
        <w:rPr>
          <w:rFonts w:asciiTheme="minorHAnsi" w:eastAsiaTheme="minorHAnsi" w:hAnsiTheme="minorHAnsi" w:cstheme="minorBidi"/>
          <w:lang w:eastAsia="en-US"/>
        </w:rPr>
        <w:t xml:space="preserve"> </w:t>
      </w:r>
      <w:r w:rsidR="006A2692" w:rsidRPr="003A1DB3">
        <w:rPr>
          <w:rFonts w:asciiTheme="minorHAnsi" w:eastAsiaTheme="minorHAnsi" w:hAnsiTheme="minorHAnsi" w:cstheme="minorBidi"/>
          <w:lang w:eastAsia="en-US"/>
        </w:rPr>
        <w:t xml:space="preserve">derrière les fondations </w:t>
      </w:r>
      <w:r w:rsidR="004F1A07">
        <w:rPr>
          <w:rFonts w:asciiTheme="minorHAnsi" w:eastAsiaTheme="minorHAnsi" w:hAnsiTheme="minorHAnsi" w:cstheme="minorBidi"/>
          <w:lang w:eastAsia="en-US"/>
        </w:rPr>
        <w:t xml:space="preserve">qui </w:t>
      </w:r>
      <w:r w:rsidRPr="003A1DB3">
        <w:rPr>
          <w:rFonts w:asciiTheme="minorHAnsi" w:eastAsiaTheme="minorHAnsi" w:hAnsiTheme="minorHAnsi" w:cstheme="minorBidi"/>
          <w:lang w:eastAsia="en-US"/>
        </w:rPr>
        <w:t>prive l’État d’importa</w:t>
      </w:r>
      <w:r w:rsidR="00B83DC5" w:rsidRPr="003A1DB3">
        <w:rPr>
          <w:rFonts w:asciiTheme="minorHAnsi" w:eastAsiaTheme="minorHAnsi" w:hAnsiTheme="minorHAnsi" w:cstheme="minorBidi"/>
          <w:lang w:eastAsia="en-US"/>
        </w:rPr>
        <w:t>nts revenus</w:t>
      </w:r>
      <w:r w:rsidR="004F1A07">
        <w:rPr>
          <w:rFonts w:asciiTheme="minorHAnsi" w:eastAsiaTheme="minorHAnsi" w:hAnsiTheme="minorHAnsi" w:cstheme="minorBidi"/>
          <w:lang w:eastAsia="en-US"/>
        </w:rPr>
        <w:t xml:space="preserve"> et qui </w:t>
      </w:r>
      <w:r w:rsidR="00B83DC5" w:rsidRPr="003A1DB3">
        <w:rPr>
          <w:rFonts w:asciiTheme="minorHAnsi" w:eastAsiaTheme="minorHAnsi" w:hAnsiTheme="minorHAnsi" w:cstheme="minorBidi"/>
          <w:lang w:eastAsia="en-US"/>
        </w:rPr>
        <w:t>dégrade le filet social et augmente les inégalités.</w:t>
      </w:r>
      <w:r w:rsidR="000E339F">
        <w:rPr>
          <w:rFonts w:asciiTheme="minorHAnsi" w:eastAsiaTheme="minorHAnsi" w:hAnsiTheme="minorHAnsi" w:cstheme="minorBidi"/>
          <w:lang w:eastAsia="en-US"/>
        </w:rPr>
        <w:t xml:space="preserve"> </w:t>
      </w:r>
    </w:p>
    <w:p w14:paraId="58C6041A" w14:textId="1F411256" w:rsidR="001A020D" w:rsidRDefault="006A2692" w:rsidP="001A020D">
      <w:pPr>
        <w:pStyle w:val="cvgsua"/>
        <w:numPr>
          <w:ilvl w:val="0"/>
          <w:numId w:val="5"/>
        </w:numPr>
        <w:rPr>
          <w:rFonts w:asciiTheme="minorHAnsi" w:eastAsiaTheme="minorHAnsi" w:hAnsiTheme="minorHAnsi" w:cstheme="minorBidi"/>
          <w:lang w:eastAsia="en-US"/>
        </w:rPr>
      </w:pPr>
      <w:r w:rsidRPr="003A1DB3">
        <w:rPr>
          <w:rFonts w:asciiTheme="minorHAnsi" w:eastAsiaTheme="minorHAnsi" w:hAnsiTheme="minorHAnsi" w:cstheme="minorBidi"/>
          <w:lang w:eastAsia="en-US"/>
        </w:rPr>
        <w:t xml:space="preserve">Souligne les nombreuses </w:t>
      </w:r>
      <w:r w:rsidRPr="003A1DB3">
        <w:rPr>
          <w:rFonts w:asciiTheme="minorHAnsi" w:eastAsiaTheme="minorHAnsi" w:hAnsiTheme="minorHAnsi" w:cstheme="minorBidi"/>
          <w:b/>
          <w:lang w:eastAsia="en-US"/>
        </w:rPr>
        <w:t>atteintes à l’autonomie</w:t>
      </w:r>
      <w:r w:rsidRPr="003A1DB3">
        <w:rPr>
          <w:rFonts w:asciiTheme="minorHAnsi" w:eastAsiaTheme="minorHAnsi" w:hAnsiTheme="minorHAnsi" w:cstheme="minorBidi"/>
          <w:lang w:eastAsia="en-US"/>
        </w:rPr>
        <w:t xml:space="preserve"> </w:t>
      </w:r>
      <w:r w:rsidR="003A1DB3">
        <w:rPr>
          <w:rFonts w:asciiTheme="minorHAnsi" w:eastAsiaTheme="minorHAnsi" w:hAnsiTheme="minorHAnsi" w:cstheme="minorBidi"/>
          <w:lang w:eastAsia="en-US"/>
        </w:rPr>
        <w:t>(</w:t>
      </w:r>
      <w:r w:rsidRPr="003A1DB3">
        <w:rPr>
          <w:rFonts w:asciiTheme="minorHAnsi" w:eastAsiaTheme="minorHAnsi" w:hAnsiTheme="minorHAnsi" w:cstheme="minorBidi"/>
          <w:lang w:eastAsia="en-US"/>
        </w:rPr>
        <w:t>de financement, de pratiques, de mode de fonctionnement</w:t>
      </w:r>
      <w:r w:rsidR="003A1DB3">
        <w:rPr>
          <w:rFonts w:asciiTheme="minorHAnsi" w:eastAsiaTheme="minorHAnsi" w:hAnsiTheme="minorHAnsi" w:cstheme="minorBidi"/>
          <w:lang w:eastAsia="en-US"/>
        </w:rPr>
        <w:t xml:space="preserve">, </w:t>
      </w:r>
      <w:r w:rsidRPr="003A1DB3">
        <w:rPr>
          <w:rFonts w:asciiTheme="minorHAnsi" w:eastAsiaTheme="minorHAnsi" w:hAnsiTheme="minorHAnsi" w:cstheme="minorBidi"/>
          <w:lang w:eastAsia="en-US"/>
        </w:rPr>
        <w:t>d’alliances</w:t>
      </w:r>
      <w:r w:rsidR="003A1DB3">
        <w:rPr>
          <w:rFonts w:asciiTheme="minorHAnsi" w:eastAsiaTheme="minorHAnsi" w:hAnsiTheme="minorHAnsi" w:cstheme="minorBidi"/>
          <w:lang w:eastAsia="en-US"/>
        </w:rPr>
        <w:t>, etc.)</w:t>
      </w:r>
      <w:r w:rsidRPr="003A1DB3">
        <w:rPr>
          <w:rFonts w:asciiTheme="minorHAnsi" w:eastAsiaTheme="minorHAnsi" w:hAnsiTheme="minorHAnsi" w:cstheme="minorBidi"/>
          <w:lang w:eastAsia="en-US"/>
        </w:rPr>
        <w:t xml:space="preserve"> des groupes communautaires induites</w:t>
      </w:r>
      <w:r w:rsidR="00215272">
        <w:rPr>
          <w:rFonts w:asciiTheme="minorHAnsi" w:eastAsiaTheme="minorHAnsi" w:hAnsiTheme="minorHAnsi" w:cstheme="minorBidi"/>
          <w:lang w:eastAsia="en-US"/>
        </w:rPr>
        <w:t xml:space="preserve"> par la culture philanthropique. </w:t>
      </w:r>
    </w:p>
    <w:p w14:paraId="4F10A4C7" w14:textId="3FC5C2EC" w:rsidR="00D62029" w:rsidRPr="00D62029" w:rsidRDefault="00D62029" w:rsidP="00D62029">
      <w:pPr>
        <w:pStyle w:val="Paragraphedeliste"/>
        <w:numPr>
          <w:ilvl w:val="0"/>
          <w:numId w:val="5"/>
        </w:numPr>
        <w:spacing w:line="240" w:lineRule="auto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Milite pour </w:t>
      </w:r>
      <w:r w:rsidRPr="003A1DB3">
        <w:rPr>
          <w:rFonts w:eastAsia="Arial" w:cstheme="minorHAnsi"/>
          <w:b/>
          <w:sz w:val="24"/>
          <w:szCs w:val="24"/>
        </w:rPr>
        <w:t>un financement public à la mission</w:t>
      </w:r>
      <w:r w:rsidRPr="003A1DB3">
        <w:rPr>
          <w:rFonts w:eastAsia="Arial" w:cstheme="minorHAnsi"/>
          <w:sz w:val="24"/>
          <w:szCs w:val="24"/>
        </w:rPr>
        <w:t xml:space="preserve"> des organismes</w:t>
      </w:r>
      <w:r>
        <w:rPr>
          <w:rFonts w:eastAsia="Arial" w:cstheme="minorHAnsi"/>
          <w:sz w:val="24"/>
          <w:szCs w:val="24"/>
        </w:rPr>
        <w:t xml:space="preserve"> communautaires</w:t>
      </w:r>
      <w:r w:rsidR="00B3369B">
        <w:rPr>
          <w:rFonts w:eastAsia="Arial" w:cstheme="minorHAnsi"/>
          <w:sz w:val="24"/>
          <w:szCs w:val="24"/>
        </w:rPr>
        <w:t xml:space="preserve"> autonomes</w:t>
      </w:r>
      <w:r w:rsidRPr="003A1DB3">
        <w:rPr>
          <w:rFonts w:eastAsia="Arial" w:cstheme="minorHAnsi"/>
          <w:sz w:val="24"/>
          <w:szCs w:val="24"/>
        </w:rPr>
        <w:t xml:space="preserve"> à la hauteur des besoins comprenant une indexation annuelle et une pleine reconnaissance de leur rôle. </w:t>
      </w:r>
    </w:p>
    <w:p w14:paraId="1B298CC7" w14:textId="400447FE" w:rsidR="00215272" w:rsidRPr="00E04C3C" w:rsidRDefault="00215272" w:rsidP="003A1DB3">
      <w:pPr>
        <w:pStyle w:val="cvgsua"/>
        <w:spacing w:line="405" w:lineRule="atLeast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E04C3C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Revendications </w:t>
      </w:r>
    </w:p>
    <w:p w14:paraId="02AF9BB8" w14:textId="607A7011" w:rsidR="0034761B" w:rsidRPr="00173CE2" w:rsidRDefault="00173CE2" w:rsidP="00173CE2">
      <w:pPr>
        <w:rPr>
          <w:sz w:val="24"/>
          <w:szCs w:val="24"/>
        </w:rPr>
      </w:pPr>
      <w:r w:rsidRPr="00173CE2">
        <w:rPr>
          <w:i/>
          <w:sz w:val="24"/>
          <w:szCs w:val="24"/>
        </w:rPr>
        <w:t>Considérant 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hyperlink r:id="rId18" w:history="1">
        <w:r w:rsidR="00D62029" w:rsidRPr="00D62029">
          <w:rPr>
            <w:rStyle w:val="Lienhypertexte"/>
            <w:i/>
          </w:rPr>
          <w:t>Les enjeux de la culture philanthropique</w:t>
        </w:r>
      </w:hyperlink>
      <w:r w:rsidR="00D62029">
        <w:rPr>
          <w:i/>
        </w:rPr>
        <w:t xml:space="preserve"> sont nombreux et très préoccupants pour notre démocratie, notre filet social et le mouvement </w:t>
      </w:r>
      <w:r w:rsidR="00B3369B">
        <w:rPr>
          <w:i/>
        </w:rPr>
        <w:t xml:space="preserve">de l’action </w:t>
      </w:r>
      <w:r w:rsidR="00D62029">
        <w:rPr>
          <w:i/>
        </w:rPr>
        <w:t>communautaire</w:t>
      </w:r>
      <w:r w:rsidR="00B3369B">
        <w:rPr>
          <w:i/>
        </w:rPr>
        <w:t xml:space="preserve"> autonome</w:t>
      </w:r>
      <w:r w:rsidR="00D62029">
        <w:rPr>
          <w:i/>
        </w:rPr>
        <w:t xml:space="preserve">. </w:t>
      </w:r>
      <w:r w:rsidR="00D62029" w:rsidRPr="00D62029">
        <w:rPr>
          <w:i/>
        </w:rPr>
        <w:t>La philanthropie favorise les personnes</w:t>
      </w:r>
      <w:r w:rsidR="00FC6438">
        <w:rPr>
          <w:i/>
        </w:rPr>
        <w:t xml:space="preserve"> les plus riches de la société.</w:t>
      </w:r>
      <w:r w:rsidR="005A566B">
        <w:rPr>
          <w:i/>
        </w:rPr>
        <w:t xml:space="preserve"> La culture philanthropique</w:t>
      </w:r>
      <w:r w:rsidR="00D62029" w:rsidRPr="00D62029">
        <w:rPr>
          <w:i/>
        </w:rPr>
        <w:t xml:space="preserve"> participe à la déresponsabilisation de l’État face aux besoins essentiels de la populatio</w:t>
      </w:r>
      <w:r w:rsidR="005A566B">
        <w:rPr>
          <w:i/>
        </w:rPr>
        <w:t xml:space="preserve">n. Elle alimente le mythe que le privé est mieux placé pour gérer des fonds. Elle </w:t>
      </w:r>
      <w:r w:rsidR="00D62029" w:rsidRPr="00D62029">
        <w:rPr>
          <w:i/>
        </w:rPr>
        <w:t>fait</w:t>
      </w:r>
      <w:r w:rsidR="005A566B">
        <w:rPr>
          <w:i/>
        </w:rPr>
        <w:t xml:space="preserve"> également</w:t>
      </w:r>
      <w:r w:rsidR="00D62029" w:rsidRPr="00D62029">
        <w:rPr>
          <w:i/>
        </w:rPr>
        <w:t xml:space="preserve"> partie des problèmes de notre système fiscal.</w:t>
      </w:r>
      <w:r w:rsidR="000E339F">
        <w:rPr>
          <w:i/>
        </w:rPr>
        <w:t xml:space="preserve"> </w:t>
      </w:r>
      <w:r w:rsidR="00D62029" w:rsidRPr="00D62029">
        <w:rPr>
          <w:i/>
        </w:rPr>
        <w:t>Elle augmente les inégalités et impose une influence plus grande du privé dans le domaine social.</w:t>
      </w:r>
    </w:p>
    <w:p w14:paraId="7AF2E7BF" w14:textId="25E8AA4A" w:rsidR="004D71D6" w:rsidRPr="00AF79DB" w:rsidRDefault="00942BC8" w:rsidP="00A15DC9">
      <w:pPr>
        <w:rPr>
          <w:sz w:val="24"/>
          <w:szCs w:val="24"/>
        </w:rPr>
      </w:pPr>
      <w:r w:rsidRPr="003A1DB3">
        <w:rPr>
          <w:sz w:val="24"/>
          <w:szCs w:val="24"/>
        </w:rPr>
        <w:t>Que le MÉPACQ…</w:t>
      </w:r>
      <w:r w:rsidR="000E339F">
        <w:rPr>
          <w:sz w:val="24"/>
          <w:szCs w:val="24"/>
        </w:rPr>
        <w:t xml:space="preserve"> </w:t>
      </w:r>
    </w:p>
    <w:p w14:paraId="5CF65669" w14:textId="75CFE8F7" w:rsidR="003A1DB3" w:rsidRPr="00AF79DB" w:rsidRDefault="003A1DB3" w:rsidP="00215272">
      <w:pPr>
        <w:pStyle w:val="Paragraphedeliste"/>
        <w:numPr>
          <w:ilvl w:val="0"/>
          <w:numId w:val="10"/>
        </w:numPr>
        <w:spacing w:line="240" w:lineRule="auto"/>
        <w:rPr>
          <w:rFonts w:eastAsia="Arial" w:cstheme="minorHAnsi"/>
          <w:sz w:val="24"/>
          <w:szCs w:val="24"/>
        </w:rPr>
      </w:pPr>
      <w:r w:rsidRPr="00AF79DB">
        <w:rPr>
          <w:sz w:val="24"/>
          <w:szCs w:val="24"/>
        </w:rPr>
        <w:t xml:space="preserve">Dénonce le désengagement </w:t>
      </w:r>
      <w:r w:rsidR="001412E3" w:rsidRPr="00AF79DB">
        <w:rPr>
          <w:sz w:val="24"/>
          <w:szCs w:val="24"/>
        </w:rPr>
        <w:t xml:space="preserve">de l’État </w:t>
      </w:r>
      <w:r w:rsidR="00FC6438" w:rsidRPr="00AF79DB">
        <w:rPr>
          <w:sz w:val="24"/>
          <w:szCs w:val="24"/>
        </w:rPr>
        <w:t xml:space="preserve">ainsi que </w:t>
      </w:r>
      <w:r w:rsidRPr="00AF79DB">
        <w:rPr>
          <w:b/>
          <w:sz w:val="24"/>
          <w:szCs w:val="24"/>
        </w:rPr>
        <w:t xml:space="preserve">les </w:t>
      </w:r>
      <w:r w:rsidR="00FC6438" w:rsidRPr="00AF79DB">
        <w:rPr>
          <w:b/>
          <w:sz w:val="24"/>
          <w:szCs w:val="24"/>
        </w:rPr>
        <w:t xml:space="preserve">orientations ou les </w:t>
      </w:r>
      <w:r w:rsidRPr="00AF79DB">
        <w:rPr>
          <w:b/>
          <w:sz w:val="24"/>
          <w:szCs w:val="24"/>
        </w:rPr>
        <w:t>pressions gouvernementales</w:t>
      </w:r>
      <w:r w:rsidRPr="00AF79DB">
        <w:rPr>
          <w:sz w:val="24"/>
          <w:szCs w:val="24"/>
        </w:rPr>
        <w:t xml:space="preserve"> pour que les groupes se tou</w:t>
      </w:r>
      <w:r w:rsidR="00E34F64" w:rsidRPr="00AF79DB">
        <w:rPr>
          <w:sz w:val="24"/>
          <w:szCs w:val="24"/>
        </w:rPr>
        <w:t xml:space="preserve">rnent vers le financement privé ou </w:t>
      </w:r>
      <w:r w:rsidR="004E46D6" w:rsidRPr="00AF79DB">
        <w:rPr>
          <w:sz w:val="24"/>
          <w:szCs w:val="24"/>
        </w:rPr>
        <w:t>« </w:t>
      </w:r>
      <w:r w:rsidR="00E34F64" w:rsidRPr="00AF79DB">
        <w:rPr>
          <w:sz w:val="24"/>
          <w:szCs w:val="24"/>
        </w:rPr>
        <w:t>diversifie</w:t>
      </w:r>
      <w:r w:rsidR="00356A26" w:rsidRPr="00AF79DB">
        <w:rPr>
          <w:sz w:val="24"/>
          <w:szCs w:val="24"/>
        </w:rPr>
        <w:t>nt</w:t>
      </w:r>
      <w:r w:rsidR="004E46D6" w:rsidRPr="00AF79DB">
        <w:rPr>
          <w:sz w:val="24"/>
          <w:szCs w:val="24"/>
        </w:rPr>
        <w:t> »</w:t>
      </w:r>
      <w:r w:rsidR="00E34F64" w:rsidRPr="00AF79DB">
        <w:rPr>
          <w:sz w:val="24"/>
          <w:szCs w:val="24"/>
        </w:rPr>
        <w:t xml:space="preserve"> leur financement</w:t>
      </w:r>
      <w:r w:rsidR="00632515" w:rsidRPr="00AF79DB">
        <w:rPr>
          <w:sz w:val="24"/>
          <w:szCs w:val="24"/>
        </w:rPr>
        <w:t>.</w:t>
      </w:r>
    </w:p>
    <w:p w14:paraId="715DEDD5" w14:textId="729D6F71" w:rsidR="00942BC8" w:rsidRPr="00AF79DB" w:rsidRDefault="00942BC8" w:rsidP="00215272">
      <w:pPr>
        <w:pStyle w:val="Paragraphedeliste"/>
        <w:numPr>
          <w:ilvl w:val="0"/>
          <w:numId w:val="10"/>
        </w:numPr>
        <w:spacing w:line="240" w:lineRule="auto"/>
        <w:rPr>
          <w:rFonts w:eastAsia="Arial" w:cstheme="minorHAnsi"/>
          <w:sz w:val="24"/>
          <w:szCs w:val="24"/>
        </w:rPr>
      </w:pPr>
      <w:r w:rsidRPr="00AF79DB">
        <w:rPr>
          <w:sz w:val="24"/>
          <w:szCs w:val="24"/>
        </w:rPr>
        <w:t>S’oppose à toute</w:t>
      </w:r>
      <w:r w:rsidR="001412E3" w:rsidRPr="00AF79DB">
        <w:rPr>
          <w:sz w:val="24"/>
          <w:szCs w:val="24"/>
        </w:rPr>
        <w:t>s</w:t>
      </w:r>
      <w:r w:rsidRPr="00AF79DB">
        <w:rPr>
          <w:sz w:val="24"/>
          <w:szCs w:val="24"/>
        </w:rPr>
        <w:t xml:space="preserve"> tentatives </w:t>
      </w:r>
      <w:r w:rsidRPr="00AF79DB">
        <w:rPr>
          <w:rFonts w:eastAsia="Arial" w:cstheme="minorHAnsi"/>
          <w:b/>
          <w:sz w:val="24"/>
          <w:szCs w:val="24"/>
        </w:rPr>
        <w:t xml:space="preserve">d’inclure </w:t>
      </w:r>
      <w:r w:rsidR="00861055" w:rsidRPr="00AF79DB">
        <w:rPr>
          <w:rFonts w:eastAsia="Arial" w:cstheme="minorHAnsi"/>
          <w:b/>
          <w:sz w:val="24"/>
          <w:szCs w:val="24"/>
        </w:rPr>
        <w:t xml:space="preserve">la philanthropie </w:t>
      </w:r>
      <w:r w:rsidR="00AF79DB" w:rsidRPr="00AF79DB">
        <w:rPr>
          <w:rFonts w:eastAsia="Arial" w:cstheme="minorHAnsi"/>
          <w:b/>
          <w:sz w:val="24"/>
          <w:szCs w:val="24"/>
        </w:rPr>
        <w:t>sous toutes ses formes</w:t>
      </w:r>
      <w:r w:rsidR="00AF79DB" w:rsidRPr="00AF79DB">
        <w:rPr>
          <w:rFonts w:ascii="Helvetica" w:eastAsia="Arial" w:hAnsi="Helvetica" w:cs="Helvetica"/>
          <w:sz w:val="24"/>
          <w:szCs w:val="24"/>
        </w:rPr>
        <w:t xml:space="preserve"> </w:t>
      </w:r>
      <w:r w:rsidRPr="00AF79DB">
        <w:rPr>
          <w:rFonts w:eastAsia="Arial" w:cstheme="minorHAnsi"/>
          <w:b/>
          <w:sz w:val="24"/>
          <w:szCs w:val="24"/>
        </w:rPr>
        <w:t>dans des stratégies gouvernementales</w:t>
      </w:r>
      <w:r w:rsidRPr="00AF79DB">
        <w:rPr>
          <w:rFonts w:eastAsia="Arial" w:cstheme="minorHAnsi"/>
          <w:sz w:val="24"/>
          <w:szCs w:val="24"/>
        </w:rPr>
        <w:t xml:space="preserve"> de financement ou de reconnaissance des organismes communautair</w:t>
      </w:r>
      <w:r w:rsidR="00134CB7" w:rsidRPr="00AF79DB">
        <w:rPr>
          <w:rFonts w:eastAsia="Arial" w:cstheme="minorHAnsi"/>
          <w:sz w:val="24"/>
          <w:szCs w:val="24"/>
        </w:rPr>
        <w:t>es</w:t>
      </w:r>
      <w:r w:rsidR="00B3369B">
        <w:rPr>
          <w:rFonts w:eastAsia="Arial" w:cstheme="minorHAnsi"/>
          <w:sz w:val="24"/>
          <w:szCs w:val="24"/>
        </w:rPr>
        <w:t xml:space="preserve"> autonomes</w:t>
      </w:r>
      <w:r w:rsidR="00134CB7" w:rsidRPr="00AF79DB">
        <w:rPr>
          <w:rFonts w:eastAsia="Arial" w:cstheme="minorHAnsi"/>
          <w:sz w:val="24"/>
          <w:szCs w:val="24"/>
        </w:rPr>
        <w:t xml:space="preserve"> (ex</w:t>
      </w:r>
      <w:r w:rsidR="004E46D6" w:rsidRPr="00AF79DB">
        <w:rPr>
          <w:rFonts w:eastAsia="Arial" w:cstheme="minorHAnsi"/>
          <w:sz w:val="24"/>
          <w:szCs w:val="24"/>
        </w:rPr>
        <w:t>.</w:t>
      </w:r>
      <w:r w:rsidR="00134CB7" w:rsidRPr="00AF79DB">
        <w:rPr>
          <w:rFonts w:eastAsia="Arial" w:cstheme="minorHAnsi"/>
          <w:sz w:val="24"/>
          <w:szCs w:val="24"/>
        </w:rPr>
        <w:t> : PAGAC, loi, politique, table de partenaire, etc.)</w:t>
      </w:r>
      <w:r w:rsidR="004E46D6" w:rsidRPr="00AF79DB">
        <w:rPr>
          <w:rFonts w:eastAsia="Arial" w:cstheme="minorHAnsi"/>
          <w:sz w:val="24"/>
          <w:szCs w:val="24"/>
        </w:rPr>
        <w:t>.</w:t>
      </w:r>
    </w:p>
    <w:p w14:paraId="3B79EF9A" w14:textId="77777777" w:rsidR="00942BC8" w:rsidRPr="00AF79DB" w:rsidRDefault="00942BC8" w:rsidP="00215272">
      <w:pPr>
        <w:pStyle w:val="Paragraphedeliste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AF79DB">
        <w:rPr>
          <w:sz w:val="24"/>
          <w:szCs w:val="24"/>
        </w:rPr>
        <w:t xml:space="preserve">Dénonce </w:t>
      </w:r>
      <w:r w:rsidR="00140582" w:rsidRPr="00AF79DB">
        <w:rPr>
          <w:sz w:val="24"/>
          <w:szCs w:val="24"/>
        </w:rPr>
        <w:t xml:space="preserve">l’attribution de </w:t>
      </w:r>
      <w:r w:rsidR="00140582" w:rsidRPr="00AF79DB">
        <w:rPr>
          <w:b/>
          <w:sz w:val="24"/>
          <w:szCs w:val="24"/>
        </w:rPr>
        <w:t>fonds publics aux fondations</w:t>
      </w:r>
      <w:r w:rsidR="00140582" w:rsidRPr="00AF79DB">
        <w:rPr>
          <w:sz w:val="24"/>
          <w:szCs w:val="24"/>
        </w:rPr>
        <w:t xml:space="preserve"> (</w:t>
      </w:r>
      <w:r w:rsidRPr="00AF79DB">
        <w:rPr>
          <w:sz w:val="24"/>
          <w:szCs w:val="24"/>
        </w:rPr>
        <w:t>partenariats public-privé/philanthropique) et la sous-traitance de la gestion des fonds publics par les fondations.</w:t>
      </w:r>
    </w:p>
    <w:p w14:paraId="4FE9BE16" w14:textId="5F32F82F" w:rsidR="006145BE" w:rsidRPr="00AF79DB" w:rsidRDefault="00942BC8" w:rsidP="00215272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AF79DB">
        <w:rPr>
          <w:sz w:val="24"/>
          <w:szCs w:val="24"/>
        </w:rPr>
        <w:t xml:space="preserve">Dénonce </w:t>
      </w:r>
      <w:r w:rsidRPr="00AF79DB">
        <w:rPr>
          <w:b/>
          <w:sz w:val="24"/>
          <w:szCs w:val="24"/>
        </w:rPr>
        <w:t>l’influence des acteurs philanthropiques sur les politiques publiques</w:t>
      </w:r>
      <w:r w:rsidR="005A566B" w:rsidRPr="00AF79DB">
        <w:rPr>
          <w:sz w:val="24"/>
          <w:szCs w:val="24"/>
        </w:rPr>
        <w:t xml:space="preserve">. </w:t>
      </w:r>
    </w:p>
    <w:p w14:paraId="57319533" w14:textId="77777777" w:rsidR="00FC6438" w:rsidRDefault="00FC6438" w:rsidP="00FC6438">
      <w:pPr>
        <w:rPr>
          <w:sz w:val="24"/>
          <w:szCs w:val="24"/>
        </w:rPr>
      </w:pPr>
    </w:p>
    <w:p w14:paraId="1C9CFE0D" w14:textId="68C7D2DE" w:rsidR="005A566B" w:rsidRPr="00173CE2" w:rsidRDefault="00173CE2" w:rsidP="00173CE2">
      <w:pPr>
        <w:spacing w:line="240" w:lineRule="auto"/>
      </w:pPr>
      <w:r w:rsidRPr="00173CE2">
        <w:rPr>
          <w:i/>
          <w:sz w:val="24"/>
          <w:szCs w:val="24"/>
        </w:rPr>
        <w:t>Considérant 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5A566B" w:rsidRPr="005A566B">
        <w:rPr>
          <w:i/>
          <w:sz w:val="24"/>
          <w:szCs w:val="24"/>
        </w:rPr>
        <w:t xml:space="preserve">Les fondations </w:t>
      </w:r>
      <w:r w:rsidR="005A566B">
        <w:rPr>
          <w:i/>
          <w:sz w:val="24"/>
          <w:szCs w:val="24"/>
        </w:rPr>
        <w:t xml:space="preserve">et la culture philanthropique </w:t>
      </w:r>
      <w:r w:rsidR="005A566B" w:rsidRPr="005A566B">
        <w:rPr>
          <w:i/>
          <w:sz w:val="24"/>
          <w:szCs w:val="24"/>
        </w:rPr>
        <w:t>renforcent</w:t>
      </w:r>
      <w:r w:rsidR="005A566B">
        <w:rPr>
          <w:i/>
          <w:sz w:val="24"/>
          <w:szCs w:val="24"/>
        </w:rPr>
        <w:t xml:space="preserve"> l’idée que la démocratie passe </w:t>
      </w:r>
      <w:r w:rsidR="005A566B" w:rsidRPr="005A566B">
        <w:rPr>
          <w:i/>
          <w:sz w:val="24"/>
          <w:szCs w:val="24"/>
        </w:rPr>
        <w:t>par la concertation</w:t>
      </w:r>
      <w:r w:rsidR="005A566B">
        <w:rPr>
          <w:i/>
          <w:sz w:val="24"/>
          <w:szCs w:val="24"/>
        </w:rPr>
        <w:t xml:space="preserve"> étroite entre le gouvernement, le privé et le communautaire. </w:t>
      </w:r>
      <w:r w:rsidR="005A566B" w:rsidRPr="005A566B">
        <w:rPr>
          <w:i/>
          <w:sz w:val="24"/>
          <w:szCs w:val="24"/>
        </w:rPr>
        <w:t>Elles alimente</w:t>
      </w:r>
      <w:r w:rsidR="005A566B">
        <w:rPr>
          <w:i/>
          <w:sz w:val="24"/>
          <w:szCs w:val="24"/>
        </w:rPr>
        <w:t>nt le mythe que nous avons des intérêts communs et qu’une collaboration égalitaire</w:t>
      </w:r>
      <w:r>
        <w:rPr>
          <w:i/>
          <w:sz w:val="24"/>
          <w:szCs w:val="24"/>
        </w:rPr>
        <w:t xml:space="preserve"> sans rapport de pouvoir peut être établie</w:t>
      </w:r>
      <w:r w:rsidR="005A566B">
        <w:rPr>
          <w:i/>
          <w:sz w:val="24"/>
          <w:szCs w:val="24"/>
        </w:rPr>
        <w:t xml:space="preserve">. Pourtant, ce sont </w:t>
      </w:r>
      <w:r w:rsidR="005A566B" w:rsidRPr="005A566B">
        <w:rPr>
          <w:i/>
          <w:sz w:val="24"/>
          <w:szCs w:val="24"/>
        </w:rPr>
        <w:t>des acteurs privé</w:t>
      </w:r>
      <w:r>
        <w:rPr>
          <w:i/>
          <w:sz w:val="24"/>
          <w:szCs w:val="24"/>
        </w:rPr>
        <w:t xml:space="preserve">s avec d’énormes privilèges et pouvoirs dont l’existence même </w:t>
      </w:r>
      <w:r w:rsidRPr="005A566B">
        <w:rPr>
          <w:i/>
          <w:sz w:val="24"/>
          <w:szCs w:val="24"/>
        </w:rPr>
        <w:t>contribue</w:t>
      </w:r>
      <w:r w:rsidR="005A566B" w:rsidRPr="005A566B">
        <w:rPr>
          <w:i/>
          <w:sz w:val="24"/>
          <w:szCs w:val="24"/>
        </w:rPr>
        <w:t xml:space="preserve"> aux inégalités sociales. </w:t>
      </w:r>
      <w:r w:rsidR="005A566B">
        <w:rPr>
          <w:i/>
          <w:sz w:val="24"/>
          <w:szCs w:val="24"/>
        </w:rPr>
        <w:t xml:space="preserve">Ce </w:t>
      </w:r>
      <w:r w:rsidR="005A566B" w:rsidRPr="005A566B">
        <w:rPr>
          <w:i/>
          <w:sz w:val="24"/>
          <w:szCs w:val="24"/>
        </w:rPr>
        <w:t>sont</w:t>
      </w:r>
      <w:r w:rsidR="00B77306">
        <w:rPr>
          <w:i/>
          <w:sz w:val="24"/>
          <w:szCs w:val="24"/>
        </w:rPr>
        <w:t xml:space="preserve"> plutôt</w:t>
      </w:r>
      <w:r w:rsidR="005A566B" w:rsidRPr="005A566B">
        <w:rPr>
          <w:i/>
          <w:sz w:val="24"/>
          <w:szCs w:val="24"/>
        </w:rPr>
        <w:t xml:space="preserve"> les luttes sociales et la construction d’un </w:t>
      </w:r>
      <w:r w:rsidR="005A566B">
        <w:rPr>
          <w:i/>
          <w:sz w:val="24"/>
          <w:szCs w:val="24"/>
        </w:rPr>
        <w:t xml:space="preserve">rapport de force qui </w:t>
      </w:r>
      <w:r>
        <w:rPr>
          <w:i/>
          <w:sz w:val="24"/>
          <w:szCs w:val="24"/>
        </w:rPr>
        <w:t>a permis dans l’histoire</w:t>
      </w:r>
      <w:r w:rsidR="005A566B">
        <w:rPr>
          <w:i/>
          <w:sz w:val="24"/>
          <w:szCs w:val="24"/>
        </w:rPr>
        <w:t xml:space="preserve"> </w:t>
      </w:r>
      <w:r w:rsidR="005A566B" w:rsidRPr="005A566B">
        <w:rPr>
          <w:i/>
          <w:sz w:val="24"/>
          <w:szCs w:val="24"/>
        </w:rPr>
        <w:t>d’obtenir des gains sociaux.</w:t>
      </w:r>
    </w:p>
    <w:p w14:paraId="3DC97EA4" w14:textId="5B99A3B2" w:rsidR="00FC6438" w:rsidRPr="00FC6438" w:rsidRDefault="00FC6438" w:rsidP="00FC6438">
      <w:pPr>
        <w:rPr>
          <w:sz w:val="24"/>
          <w:szCs w:val="24"/>
        </w:rPr>
      </w:pPr>
      <w:r w:rsidRPr="003A1DB3">
        <w:rPr>
          <w:sz w:val="24"/>
          <w:szCs w:val="24"/>
        </w:rPr>
        <w:t>Que le MÉPACQ…</w:t>
      </w:r>
      <w:r w:rsidR="000E339F">
        <w:rPr>
          <w:sz w:val="24"/>
          <w:szCs w:val="24"/>
        </w:rPr>
        <w:t xml:space="preserve"> </w:t>
      </w:r>
    </w:p>
    <w:p w14:paraId="552E3559" w14:textId="78B5509C" w:rsidR="006145BE" w:rsidRPr="00AF79DB" w:rsidRDefault="00216421" w:rsidP="00215272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AF79DB">
        <w:rPr>
          <w:b/>
          <w:sz w:val="24"/>
          <w:szCs w:val="24"/>
        </w:rPr>
        <w:t>R</w:t>
      </w:r>
      <w:r w:rsidR="006145BE" w:rsidRPr="00AF79DB">
        <w:rPr>
          <w:b/>
          <w:sz w:val="24"/>
          <w:szCs w:val="24"/>
        </w:rPr>
        <w:t xml:space="preserve">emette en question la notion </w:t>
      </w:r>
      <w:r w:rsidRPr="00AF79DB">
        <w:rPr>
          <w:b/>
          <w:sz w:val="24"/>
          <w:szCs w:val="24"/>
        </w:rPr>
        <w:t>de collaboration</w:t>
      </w:r>
      <w:r w:rsidRPr="00AF79DB">
        <w:rPr>
          <w:sz w:val="24"/>
          <w:szCs w:val="24"/>
        </w:rPr>
        <w:t xml:space="preserve"> </w:t>
      </w:r>
      <w:r w:rsidR="006C09F6" w:rsidRPr="00AF79DB">
        <w:rPr>
          <w:sz w:val="24"/>
          <w:szCs w:val="24"/>
        </w:rPr>
        <w:t>et</w:t>
      </w:r>
      <w:r w:rsidR="006145BE" w:rsidRPr="00AF79DB">
        <w:rPr>
          <w:sz w:val="24"/>
          <w:szCs w:val="24"/>
        </w:rPr>
        <w:t xml:space="preserve"> de concertation </w:t>
      </w:r>
      <w:r w:rsidRPr="00AF79DB">
        <w:rPr>
          <w:sz w:val="24"/>
          <w:szCs w:val="24"/>
        </w:rPr>
        <w:t xml:space="preserve">entre les fondations et le mouvement communautaire </w:t>
      </w:r>
      <w:r w:rsidR="00AF79DB" w:rsidRPr="00AF79DB">
        <w:rPr>
          <w:sz w:val="24"/>
          <w:szCs w:val="24"/>
        </w:rPr>
        <w:t xml:space="preserve">autonome </w:t>
      </w:r>
      <w:r w:rsidRPr="00AF79DB">
        <w:rPr>
          <w:sz w:val="24"/>
          <w:szCs w:val="24"/>
        </w:rPr>
        <w:t xml:space="preserve">puisque ce sont des acteurs privés </w:t>
      </w:r>
      <w:r w:rsidR="006145BE" w:rsidRPr="00AF79DB">
        <w:rPr>
          <w:sz w:val="24"/>
          <w:szCs w:val="24"/>
        </w:rPr>
        <w:t>incompatible</w:t>
      </w:r>
      <w:r w:rsidR="00D96BB7" w:rsidRPr="00AF79DB">
        <w:rPr>
          <w:sz w:val="24"/>
          <w:szCs w:val="24"/>
        </w:rPr>
        <w:t>s</w:t>
      </w:r>
      <w:r w:rsidR="006145BE" w:rsidRPr="00AF79DB">
        <w:rPr>
          <w:sz w:val="24"/>
          <w:szCs w:val="24"/>
        </w:rPr>
        <w:t xml:space="preserve"> avec une vision de transformation sociale </w:t>
      </w:r>
      <w:r w:rsidR="00AF79DB" w:rsidRPr="00AF79DB">
        <w:rPr>
          <w:sz w:val="24"/>
          <w:szCs w:val="24"/>
        </w:rPr>
        <w:t>axée sur la</w:t>
      </w:r>
      <w:r w:rsidR="006145BE" w:rsidRPr="00AF79DB">
        <w:rPr>
          <w:sz w:val="24"/>
          <w:szCs w:val="24"/>
        </w:rPr>
        <w:t xml:space="preserve"> lutte aux injustices.</w:t>
      </w:r>
    </w:p>
    <w:p w14:paraId="0A4801D5" w14:textId="77777777" w:rsidR="0034761B" w:rsidRDefault="0034761B" w:rsidP="00140582">
      <w:pPr>
        <w:spacing w:after="0"/>
        <w:jc w:val="both"/>
        <w:rPr>
          <w:sz w:val="24"/>
          <w:szCs w:val="24"/>
          <w:u w:val="single"/>
        </w:rPr>
      </w:pPr>
    </w:p>
    <w:p w14:paraId="5F4AC03A" w14:textId="77777777" w:rsidR="00140582" w:rsidRPr="003A1DB3" w:rsidRDefault="00140582" w:rsidP="00140582">
      <w:pPr>
        <w:spacing w:after="0"/>
        <w:jc w:val="both"/>
        <w:rPr>
          <w:sz w:val="24"/>
          <w:szCs w:val="24"/>
          <w:u w:val="single"/>
        </w:rPr>
      </w:pPr>
      <w:r w:rsidRPr="003A1DB3">
        <w:rPr>
          <w:sz w:val="24"/>
          <w:szCs w:val="24"/>
          <w:u w:val="single"/>
        </w:rPr>
        <w:t>Regroupements et interlocuteurs ministériels</w:t>
      </w:r>
    </w:p>
    <w:p w14:paraId="51BD4883" w14:textId="77777777" w:rsidR="00140582" w:rsidRPr="003A1DB3" w:rsidRDefault="00140582" w:rsidP="00140582">
      <w:pPr>
        <w:spacing w:after="0"/>
        <w:jc w:val="both"/>
        <w:rPr>
          <w:sz w:val="24"/>
          <w:szCs w:val="24"/>
        </w:rPr>
      </w:pPr>
    </w:p>
    <w:p w14:paraId="6593A274" w14:textId="00D6175C" w:rsidR="00B83DC5" w:rsidRPr="003A1DB3" w:rsidRDefault="00173CE2" w:rsidP="00B83DC5">
      <w:pPr>
        <w:rPr>
          <w:i/>
          <w:sz w:val="24"/>
          <w:szCs w:val="24"/>
        </w:rPr>
      </w:pPr>
      <w:r w:rsidRPr="00173CE2">
        <w:rPr>
          <w:i/>
          <w:sz w:val="24"/>
          <w:szCs w:val="24"/>
        </w:rPr>
        <w:t>Considérant 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140582" w:rsidRPr="003A1DB3">
        <w:rPr>
          <w:i/>
          <w:sz w:val="24"/>
          <w:szCs w:val="24"/>
        </w:rPr>
        <w:t xml:space="preserve">Les regroupements d’organismes communautaires ont été notamment mis sur pied par leurs membres pour représenter leurs intérêts face au gouvernement. </w:t>
      </w:r>
      <w:r w:rsidR="00B83DC5" w:rsidRPr="003A1DB3">
        <w:rPr>
          <w:i/>
          <w:sz w:val="24"/>
          <w:szCs w:val="24"/>
        </w:rPr>
        <w:t>L’indépendance, la cohérence, la crédibilité et l’autonomie des regroupements sont essentielles à ce qu’ils puissent jouer ce rôle d’interlocuteur ministériel et exiger fermement un financement public</w:t>
      </w:r>
      <w:r w:rsidR="00B77306">
        <w:rPr>
          <w:i/>
          <w:sz w:val="24"/>
          <w:szCs w:val="24"/>
        </w:rPr>
        <w:t xml:space="preserve"> en s’opposant aux pressions pour la </w:t>
      </w:r>
      <w:r w:rsidR="004E46D6">
        <w:rPr>
          <w:i/>
          <w:sz w:val="24"/>
          <w:szCs w:val="24"/>
        </w:rPr>
        <w:t>« </w:t>
      </w:r>
      <w:r w:rsidR="00B77306">
        <w:rPr>
          <w:i/>
          <w:sz w:val="24"/>
          <w:szCs w:val="24"/>
        </w:rPr>
        <w:t>diversification</w:t>
      </w:r>
      <w:r w:rsidR="004E46D6">
        <w:rPr>
          <w:i/>
          <w:sz w:val="24"/>
          <w:szCs w:val="24"/>
        </w:rPr>
        <w:t> »</w:t>
      </w:r>
      <w:r w:rsidR="00B77306">
        <w:rPr>
          <w:i/>
          <w:sz w:val="24"/>
          <w:szCs w:val="24"/>
        </w:rPr>
        <w:t xml:space="preserve"> du financement. </w:t>
      </w:r>
      <w:r w:rsidR="00B83DC5" w:rsidRPr="003A1DB3">
        <w:rPr>
          <w:i/>
          <w:sz w:val="24"/>
          <w:szCs w:val="24"/>
        </w:rPr>
        <w:t>Le recours à du financement philanthropique risque d</w:t>
      </w:r>
      <w:r w:rsidR="00CB20DB" w:rsidRPr="003A1DB3">
        <w:rPr>
          <w:i/>
          <w:sz w:val="24"/>
          <w:szCs w:val="24"/>
        </w:rPr>
        <w:t xml:space="preserve">e nuire à ce rôle et d’éloigner le regroupement des intérêts et des réalités de l’ensemble de ses membres. </w:t>
      </w:r>
      <w:r w:rsidR="00B83DC5" w:rsidRPr="003A1DB3">
        <w:rPr>
          <w:i/>
          <w:sz w:val="24"/>
          <w:szCs w:val="24"/>
        </w:rPr>
        <w:t xml:space="preserve">Il est primordial de mettre au centre des préoccupations </w:t>
      </w:r>
      <w:r w:rsidR="00CB20DB" w:rsidRPr="003A1DB3">
        <w:rPr>
          <w:i/>
          <w:sz w:val="24"/>
          <w:szCs w:val="24"/>
        </w:rPr>
        <w:t xml:space="preserve">et des discussions </w:t>
      </w:r>
      <w:r w:rsidR="00B83DC5" w:rsidRPr="003A1DB3">
        <w:rPr>
          <w:i/>
          <w:sz w:val="24"/>
          <w:szCs w:val="24"/>
        </w:rPr>
        <w:t xml:space="preserve">les réalités des groupes </w:t>
      </w:r>
      <w:r w:rsidR="001D135F">
        <w:rPr>
          <w:i/>
          <w:sz w:val="24"/>
          <w:szCs w:val="24"/>
        </w:rPr>
        <w:t xml:space="preserve">dont les missions sont </w:t>
      </w:r>
      <w:r w:rsidR="00B83DC5" w:rsidRPr="003A1DB3">
        <w:rPr>
          <w:i/>
          <w:sz w:val="24"/>
          <w:szCs w:val="24"/>
        </w:rPr>
        <w:t>les moins financé</w:t>
      </w:r>
      <w:r w:rsidR="004E46D6">
        <w:rPr>
          <w:i/>
          <w:sz w:val="24"/>
          <w:szCs w:val="24"/>
        </w:rPr>
        <w:t>e</w:t>
      </w:r>
      <w:r w:rsidR="00B83DC5" w:rsidRPr="003A1DB3">
        <w:rPr>
          <w:i/>
          <w:sz w:val="24"/>
          <w:szCs w:val="24"/>
        </w:rPr>
        <w:t xml:space="preserve">s </w:t>
      </w:r>
      <w:r w:rsidR="00CB20DB" w:rsidRPr="003A1DB3">
        <w:rPr>
          <w:i/>
          <w:sz w:val="24"/>
          <w:szCs w:val="24"/>
        </w:rPr>
        <w:t>et reconnu</w:t>
      </w:r>
      <w:r w:rsidR="004E46D6">
        <w:rPr>
          <w:i/>
          <w:sz w:val="24"/>
          <w:szCs w:val="24"/>
        </w:rPr>
        <w:t>e</w:t>
      </w:r>
      <w:r w:rsidR="00CB20DB" w:rsidRPr="003A1DB3">
        <w:rPr>
          <w:i/>
          <w:sz w:val="24"/>
          <w:szCs w:val="24"/>
        </w:rPr>
        <w:t xml:space="preserve">s </w:t>
      </w:r>
      <w:r w:rsidR="00B83DC5" w:rsidRPr="003A1DB3">
        <w:rPr>
          <w:i/>
          <w:sz w:val="24"/>
          <w:szCs w:val="24"/>
        </w:rPr>
        <w:t xml:space="preserve">de notre secteur. </w:t>
      </w:r>
    </w:p>
    <w:p w14:paraId="6BCC2650" w14:textId="77777777" w:rsidR="00140582" w:rsidRPr="00B3369B" w:rsidRDefault="00B83DC5" w:rsidP="00B83DC5">
      <w:pPr>
        <w:rPr>
          <w:sz w:val="24"/>
          <w:szCs w:val="24"/>
        </w:rPr>
      </w:pPr>
      <w:r w:rsidRPr="003A1DB3">
        <w:rPr>
          <w:sz w:val="24"/>
          <w:szCs w:val="24"/>
        </w:rPr>
        <w:t xml:space="preserve">Que </w:t>
      </w:r>
      <w:r w:rsidRPr="00B3369B">
        <w:rPr>
          <w:sz w:val="24"/>
          <w:szCs w:val="24"/>
        </w:rPr>
        <w:t>le MÉPACQ…</w:t>
      </w:r>
    </w:p>
    <w:p w14:paraId="11E6B3AA" w14:textId="17AED39C" w:rsidR="00711BC0" w:rsidRDefault="00B83DC5" w:rsidP="00215272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B3369B">
        <w:rPr>
          <w:sz w:val="24"/>
          <w:szCs w:val="24"/>
        </w:rPr>
        <w:t>Revendique</w:t>
      </w:r>
      <w:r w:rsidR="00711BC0" w:rsidRPr="00B3369B">
        <w:rPr>
          <w:sz w:val="24"/>
          <w:szCs w:val="24"/>
        </w:rPr>
        <w:t xml:space="preserve"> que</w:t>
      </w:r>
      <w:r w:rsidRPr="00B3369B">
        <w:rPr>
          <w:sz w:val="24"/>
          <w:szCs w:val="24"/>
        </w:rPr>
        <w:t xml:space="preserve"> l’interlocuteur ministériel du secteur de la défense collective des droits, </w:t>
      </w:r>
      <w:r w:rsidR="00D96BB7" w:rsidRPr="00B3369B">
        <w:rPr>
          <w:sz w:val="24"/>
          <w:szCs w:val="24"/>
        </w:rPr>
        <w:t xml:space="preserve">soit </w:t>
      </w:r>
      <w:r w:rsidRPr="00B3369B">
        <w:rPr>
          <w:sz w:val="24"/>
          <w:szCs w:val="24"/>
        </w:rPr>
        <w:t>le Regroupement des organismes en défense collective des droits (</w:t>
      </w:r>
      <w:r w:rsidR="00711BC0" w:rsidRPr="00B3369B">
        <w:rPr>
          <w:sz w:val="24"/>
          <w:szCs w:val="24"/>
        </w:rPr>
        <w:t>RODCD</w:t>
      </w:r>
      <w:r w:rsidRPr="00B3369B">
        <w:rPr>
          <w:sz w:val="24"/>
          <w:szCs w:val="24"/>
        </w:rPr>
        <w:t>)</w:t>
      </w:r>
      <w:r w:rsidR="00711BC0" w:rsidRPr="00B3369B">
        <w:rPr>
          <w:sz w:val="24"/>
          <w:szCs w:val="24"/>
        </w:rPr>
        <w:t xml:space="preserve"> </w:t>
      </w:r>
      <w:r w:rsidR="00B3369B" w:rsidRPr="00B3369B">
        <w:rPr>
          <w:sz w:val="24"/>
          <w:szCs w:val="24"/>
        </w:rPr>
        <w:t>et que l’interlocuteur de l’action communautaire autonome, soit le Réseau québécois de l’action communautaire autonome (RQ-ACA)</w:t>
      </w:r>
      <w:r w:rsidR="00B3369B" w:rsidRPr="00B3369B">
        <w:rPr>
          <w:rFonts w:ascii="Helvetica" w:hAnsi="Helvetica" w:cs="Helvetica"/>
          <w:sz w:val="24"/>
          <w:szCs w:val="24"/>
        </w:rPr>
        <w:t xml:space="preserve"> </w:t>
      </w:r>
      <w:r w:rsidRPr="00024DA4">
        <w:rPr>
          <w:sz w:val="24"/>
          <w:szCs w:val="24"/>
        </w:rPr>
        <w:t>ne se tourne pas vers le financement philanthropique</w:t>
      </w:r>
      <w:r w:rsidR="00B3369B" w:rsidRPr="00024DA4">
        <w:rPr>
          <w:sz w:val="24"/>
          <w:szCs w:val="24"/>
        </w:rPr>
        <w:t>.</w:t>
      </w:r>
      <w:r w:rsidR="00B3369B" w:rsidRPr="00B3369B">
        <w:rPr>
          <w:sz w:val="24"/>
          <w:szCs w:val="24"/>
        </w:rPr>
        <w:t xml:space="preserve"> </w:t>
      </w:r>
    </w:p>
    <w:p w14:paraId="13330DB5" w14:textId="77777777" w:rsidR="00711BC0" w:rsidRPr="00711BC0" w:rsidRDefault="00711BC0" w:rsidP="00711BC0">
      <w:pPr>
        <w:rPr>
          <w:b/>
          <w:sz w:val="28"/>
        </w:rPr>
      </w:pPr>
      <w:bookmarkStart w:id="0" w:name="_GoBack"/>
      <w:bookmarkEnd w:id="0"/>
    </w:p>
    <w:sectPr w:rsidR="00711BC0" w:rsidRPr="00711BC0">
      <w:headerReference w:type="default" r:id="rId1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64240D2" w16cex:dateUtc="2024-10-30T18:27:00Z"/>
  <w16cex:commentExtensible w16cex:durableId="2AE69894" w16cex:dateUtc="2024-10-30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A009C15" w16cid:durableId="564240D2"/>
  <w16cid:commentId w16cid:paraId="1010B659" w16cid:durableId="2AE698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37C84" w14:textId="77777777" w:rsidR="00153D45" w:rsidRDefault="00153D45" w:rsidP="00711BC0">
      <w:pPr>
        <w:spacing w:after="0" w:line="240" w:lineRule="auto"/>
      </w:pPr>
      <w:r>
        <w:separator/>
      </w:r>
    </w:p>
  </w:endnote>
  <w:endnote w:type="continuationSeparator" w:id="0">
    <w:p w14:paraId="67361EA3" w14:textId="77777777" w:rsidR="00153D45" w:rsidRDefault="00153D45" w:rsidP="00711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A1506" w14:textId="77777777" w:rsidR="00153D45" w:rsidRDefault="00153D45" w:rsidP="00711BC0">
      <w:pPr>
        <w:spacing w:after="0" w:line="240" w:lineRule="auto"/>
      </w:pPr>
      <w:r>
        <w:separator/>
      </w:r>
    </w:p>
  </w:footnote>
  <w:footnote w:type="continuationSeparator" w:id="0">
    <w:p w14:paraId="56984077" w14:textId="77777777" w:rsidR="00153D45" w:rsidRDefault="00153D45" w:rsidP="00711BC0">
      <w:pPr>
        <w:spacing w:after="0" w:line="240" w:lineRule="auto"/>
      </w:pPr>
      <w:r>
        <w:continuationSeparator/>
      </w:r>
    </w:p>
  </w:footnote>
  <w:footnote w:id="1">
    <w:p w14:paraId="1CD4DEF6" w14:textId="3D1FE118" w:rsidR="00E51423" w:rsidRPr="00E51423" w:rsidRDefault="00E5142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Pr="00D12D65">
          <w:rPr>
            <w:rStyle w:val="Lienhypertexte"/>
          </w:rPr>
          <w:t>https://www.lapresse.ca/actualites/chroniques/2024-03-09/combien-coute-une-vie-de-femme.php</w:t>
        </w:r>
      </w:hyperlink>
    </w:p>
  </w:footnote>
  <w:footnote w:id="2">
    <w:p w14:paraId="0B0B1BC8" w14:textId="4E73D1E7" w:rsidR="00E51423" w:rsidRPr="00E51423" w:rsidRDefault="00E5142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2" w:history="1">
        <w:r w:rsidRPr="00D12D65">
          <w:rPr>
            <w:rStyle w:val="Lienhypertexte"/>
          </w:rPr>
          <w:t>https://www.pauvrete.qc.ca/comm-240228/</w:t>
        </w:r>
      </w:hyperlink>
    </w:p>
  </w:footnote>
  <w:footnote w:id="3">
    <w:p w14:paraId="4C487B76" w14:textId="169A1718" w:rsidR="00E51423" w:rsidRPr="00E51423" w:rsidRDefault="00E5142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3" w:history="1">
        <w:r w:rsidRPr="00D12D65">
          <w:rPr>
            <w:rStyle w:val="Lienhypertexte"/>
          </w:rPr>
          <w:t>https://www.lapresse.ca/actualites/education/2022-09-22/fondations-de-cegeps/des-fonds-de-quebec-en-fonction-des-dons.php</w:t>
        </w:r>
      </w:hyperlink>
    </w:p>
  </w:footnote>
  <w:footnote w:id="4">
    <w:p w14:paraId="7967ED95" w14:textId="0705A2CD" w:rsidR="00E51423" w:rsidRPr="00E51423" w:rsidRDefault="00E5142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4" w:history="1">
        <w:r w:rsidR="00F6074C" w:rsidRPr="00A56E03">
          <w:rPr>
            <w:rStyle w:val="Lienhypertexte"/>
          </w:rPr>
          <w:t>https://mqrp.qc.ca/2020/01/bell-canada-placote-pour-sa/</w:t>
        </w:r>
      </w:hyperlink>
      <w:r w:rsidR="00F6074C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652BF" w14:textId="77777777" w:rsidR="00711BC0" w:rsidRDefault="00711BC0">
    <w:pPr>
      <w:pStyle w:val="En-tte"/>
    </w:pPr>
    <w:r>
      <w:rPr>
        <w:noProof/>
        <w:lang w:eastAsia="fr-CA"/>
      </w:rPr>
      <w:drawing>
        <wp:inline distT="0" distB="0" distL="0" distR="0" wp14:anchorId="2589FB24" wp14:editId="397468BF">
          <wp:extent cx="1352167" cy="355600"/>
          <wp:effectExtent l="0" t="0" r="635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epaqx3 petite taille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0768" cy="360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C39F6"/>
    <w:multiLevelType w:val="hybridMultilevel"/>
    <w:tmpl w:val="C44E5868"/>
    <w:lvl w:ilvl="0" w:tplc="0C0C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B2BC2"/>
    <w:multiLevelType w:val="hybridMultilevel"/>
    <w:tmpl w:val="A906D06A"/>
    <w:lvl w:ilvl="0" w:tplc="09DA58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B2EF4"/>
    <w:multiLevelType w:val="hybridMultilevel"/>
    <w:tmpl w:val="151ACDE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B59D1"/>
    <w:multiLevelType w:val="hybridMultilevel"/>
    <w:tmpl w:val="B8B6C52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670B4"/>
    <w:multiLevelType w:val="hybridMultilevel"/>
    <w:tmpl w:val="F356E0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247D1"/>
    <w:multiLevelType w:val="hybridMultilevel"/>
    <w:tmpl w:val="7D00FB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47DA3"/>
    <w:multiLevelType w:val="hybridMultilevel"/>
    <w:tmpl w:val="74AA0EF4"/>
    <w:lvl w:ilvl="0" w:tplc="7294F70E">
      <w:start w:val="202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F41D9"/>
    <w:multiLevelType w:val="hybridMultilevel"/>
    <w:tmpl w:val="AD0630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A4B22"/>
    <w:multiLevelType w:val="multilevel"/>
    <w:tmpl w:val="19A0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B6A17"/>
    <w:multiLevelType w:val="hybridMultilevel"/>
    <w:tmpl w:val="8482DC5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C0"/>
    <w:rsid w:val="00024DA4"/>
    <w:rsid w:val="000E0CB3"/>
    <w:rsid w:val="000E339F"/>
    <w:rsid w:val="000F5868"/>
    <w:rsid w:val="000F5884"/>
    <w:rsid w:val="001052C1"/>
    <w:rsid w:val="001124B5"/>
    <w:rsid w:val="00134CB7"/>
    <w:rsid w:val="00140582"/>
    <w:rsid w:val="001412E3"/>
    <w:rsid w:val="00153D45"/>
    <w:rsid w:val="00173CE2"/>
    <w:rsid w:val="00195F3C"/>
    <w:rsid w:val="001A020D"/>
    <w:rsid w:val="001D135F"/>
    <w:rsid w:val="00201794"/>
    <w:rsid w:val="00215272"/>
    <w:rsid w:val="00216421"/>
    <w:rsid w:val="00277A48"/>
    <w:rsid w:val="002A35A8"/>
    <w:rsid w:val="002F2270"/>
    <w:rsid w:val="003134FC"/>
    <w:rsid w:val="0031684C"/>
    <w:rsid w:val="0034761B"/>
    <w:rsid w:val="00356A26"/>
    <w:rsid w:val="003A1DB3"/>
    <w:rsid w:val="003B6336"/>
    <w:rsid w:val="00402CDB"/>
    <w:rsid w:val="00445D53"/>
    <w:rsid w:val="004728DB"/>
    <w:rsid w:val="004D6E29"/>
    <w:rsid w:val="004D71D6"/>
    <w:rsid w:val="004E46D6"/>
    <w:rsid w:val="004F1A07"/>
    <w:rsid w:val="005344FD"/>
    <w:rsid w:val="00545781"/>
    <w:rsid w:val="00545D52"/>
    <w:rsid w:val="005529C4"/>
    <w:rsid w:val="00583FA3"/>
    <w:rsid w:val="00596B61"/>
    <w:rsid w:val="005A566B"/>
    <w:rsid w:val="005D05B8"/>
    <w:rsid w:val="005E4E5B"/>
    <w:rsid w:val="006145BE"/>
    <w:rsid w:val="00624384"/>
    <w:rsid w:val="00632515"/>
    <w:rsid w:val="006440E1"/>
    <w:rsid w:val="006A2692"/>
    <w:rsid w:val="006A71D8"/>
    <w:rsid w:val="006C09F6"/>
    <w:rsid w:val="006C5D21"/>
    <w:rsid w:val="006F45B8"/>
    <w:rsid w:val="00711BC0"/>
    <w:rsid w:val="00716746"/>
    <w:rsid w:val="00725E2B"/>
    <w:rsid w:val="007352B1"/>
    <w:rsid w:val="007718D7"/>
    <w:rsid w:val="007D10B1"/>
    <w:rsid w:val="0082515C"/>
    <w:rsid w:val="00857945"/>
    <w:rsid w:val="00861055"/>
    <w:rsid w:val="008A4CF5"/>
    <w:rsid w:val="008D16EC"/>
    <w:rsid w:val="008E3B07"/>
    <w:rsid w:val="008E48F2"/>
    <w:rsid w:val="00942BC8"/>
    <w:rsid w:val="00973047"/>
    <w:rsid w:val="0098167E"/>
    <w:rsid w:val="00994701"/>
    <w:rsid w:val="009A4C5C"/>
    <w:rsid w:val="009E2A6B"/>
    <w:rsid w:val="00A0373D"/>
    <w:rsid w:val="00A15DC9"/>
    <w:rsid w:val="00A81EBA"/>
    <w:rsid w:val="00AE63DC"/>
    <w:rsid w:val="00AF79DB"/>
    <w:rsid w:val="00B3369B"/>
    <w:rsid w:val="00B711CC"/>
    <w:rsid w:val="00B73E7B"/>
    <w:rsid w:val="00B77306"/>
    <w:rsid w:val="00B83DC5"/>
    <w:rsid w:val="00BD052B"/>
    <w:rsid w:val="00CB20DB"/>
    <w:rsid w:val="00CC2CA2"/>
    <w:rsid w:val="00CF3F2F"/>
    <w:rsid w:val="00D24EAD"/>
    <w:rsid w:val="00D62029"/>
    <w:rsid w:val="00D66FE7"/>
    <w:rsid w:val="00D96BB7"/>
    <w:rsid w:val="00E04C3C"/>
    <w:rsid w:val="00E17966"/>
    <w:rsid w:val="00E34F64"/>
    <w:rsid w:val="00E51423"/>
    <w:rsid w:val="00E54C33"/>
    <w:rsid w:val="00E60FF9"/>
    <w:rsid w:val="00E817C4"/>
    <w:rsid w:val="00EA5329"/>
    <w:rsid w:val="00EE2B40"/>
    <w:rsid w:val="00F35552"/>
    <w:rsid w:val="00F420E8"/>
    <w:rsid w:val="00F6074C"/>
    <w:rsid w:val="00F737DC"/>
    <w:rsid w:val="00F84157"/>
    <w:rsid w:val="00FB1FA5"/>
    <w:rsid w:val="00FC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36C3D"/>
  <w15:chartTrackingRefBased/>
  <w15:docId w15:val="{77C61988-1E4C-4DFF-BBA6-66B15ACE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3A1D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1B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1BC0"/>
  </w:style>
  <w:style w:type="paragraph" w:styleId="Pieddepage">
    <w:name w:val="footer"/>
    <w:basedOn w:val="Normal"/>
    <w:link w:val="PieddepageCar"/>
    <w:uiPriority w:val="99"/>
    <w:unhideWhenUsed/>
    <w:rsid w:val="00711B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1BC0"/>
  </w:style>
  <w:style w:type="paragraph" w:styleId="Paragraphedeliste">
    <w:name w:val="List Paragraph"/>
    <w:basedOn w:val="Normal"/>
    <w:uiPriority w:val="34"/>
    <w:qFormat/>
    <w:rsid w:val="00711BC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11BC0"/>
    <w:rPr>
      <w:color w:val="0563C1" w:themeColor="hyperlink"/>
      <w:u w:val="single"/>
    </w:rPr>
  </w:style>
  <w:style w:type="paragraph" w:customStyle="1" w:styleId="cvgsua">
    <w:name w:val="cvgsua"/>
    <w:basedOn w:val="Normal"/>
    <w:rsid w:val="004D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oypena">
    <w:name w:val="oypena"/>
    <w:basedOn w:val="Policepardfaut"/>
    <w:rsid w:val="004D71D6"/>
  </w:style>
  <w:style w:type="paragraph" w:styleId="NormalWeb">
    <w:name w:val="Normal (Web)"/>
    <w:basedOn w:val="Normal"/>
    <w:uiPriority w:val="99"/>
    <w:semiHidden/>
    <w:unhideWhenUsed/>
    <w:rsid w:val="0094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3A1DB3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3A1DB3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styleId="lev">
    <w:name w:val="Strong"/>
    <w:basedOn w:val="Policepardfaut"/>
    <w:uiPriority w:val="22"/>
    <w:qFormat/>
    <w:rsid w:val="003A1DB3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6145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145B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145B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45B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45B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4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5BE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514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514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51423"/>
    <w:rPr>
      <w:vertAlign w:val="superscript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6074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4E46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presse.ca/actualites/chroniques/2024-03-09/combien-coute-une-vie-de-femme.php" TargetMode="External"/><Relationship Id="rId13" Type="http://schemas.openxmlformats.org/officeDocument/2006/relationships/hyperlink" Target="https://mepacq.qc.ca/tool/philanthropie/" TargetMode="External"/><Relationship Id="rId18" Type="http://schemas.openxmlformats.org/officeDocument/2006/relationships/hyperlink" Target="https://mepacq.qc.ca/tool/philanthropie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pacq.qc.ca/wp-content/uploads/2023/06/Fondations.pdf" TargetMode="External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hyperlink" Target="https://mepacq.qc.ca/tool/philanthropi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qrp.qc.ca/2020/01/bell-canada-placote-pour-sa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microsoft.com/office/2018/08/relationships/commentsExtensible" Target="commentsExtensible.xml"/><Relationship Id="rId10" Type="http://schemas.openxmlformats.org/officeDocument/2006/relationships/hyperlink" Target="https://www.lapresse.ca/actualites/education/2022-09-22/fondations-de-cegeps/des-fonds-de-quebec-en-fonction-des-dons.php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auvrete.qc.ca/comm-240228/" TargetMode="External"/><Relationship Id="rId14" Type="http://schemas.openxmlformats.org/officeDocument/2006/relationships/hyperlink" Target="https://mepacq.qc.ca/tool/philanthropie/" TargetMode="External"/><Relationship Id="rId22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apresse.ca/actualites/education/2022-09-22/fondations-de-cegeps/des-fonds-de-quebec-en-fonction-des-dons.php" TargetMode="External"/><Relationship Id="rId2" Type="http://schemas.openxmlformats.org/officeDocument/2006/relationships/hyperlink" Target="https://www.pauvrete.qc.ca/comm-240228/" TargetMode="External"/><Relationship Id="rId1" Type="http://schemas.openxmlformats.org/officeDocument/2006/relationships/hyperlink" Target="https://www.lapresse.ca/actualites/chroniques/2024-03-09/combien-coute-une-vie-de-femme.php" TargetMode="External"/><Relationship Id="rId4" Type="http://schemas.openxmlformats.org/officeDocument/2006/relationships/hyperlink" Target="https://mqrp.qc.ca/2020/01/bell-canada-placote-pour-s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F8524-D51A-47FD-89E5-242159A8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1135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MÉPACQ</dc:creator>
  <cp:keywords/>
  <dc:description/>
  <cp:lastModifiedBy>Gabriel Dumas</cp:lastModifiedBy>
  <cp:revision>8</cp:revision>
  <dcterms:created xsi:type="dcterms:W3CDTF">2024-12-10T15:03:00Z</dcterms:created>
  <dcterms:modified xsi:type="dcterms:W3CDTF">2024-12-11T19:18:00Z</dcterms:modified>
</cp:coreProperties>
</file>