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D19" w:rsidRPr="00714D19" w:rsidRDefault="00714D19" w:rsidP="00714D19">
      <w:pPr>
        <w:pStyle w:val="Titre1"/>
        <w:jc w:val="center"/>
        <w:rPr>
          <w:rFonts w:ascii="Arial" w:hAnsi="Arial" w:cs="Arial"/>
        </w:rPr>
      </w:pPr>
      <w:r w:rsidRPr="002C2875">
        <w:rPr>
          <w:rStyle w:val="oypena"/>
          <w:rFonts w:ascii="Arial" w:hAnsi="Arial" w:cs="Arial"/>
        </w:rPr>
        <w:t>Quand le</w:t>
      </w:r>
      <w:r w:rsidRPr="00714D19">
        <w:rPr>
          <w:rStyle w:val="oypena"/>
        </w:rPr>
        <w:t xml:space="preserve"> </w:t>
      </w:r>
      <w:r w:rsidRPr="00714D19">
        <w:rPr>
          <w:rStyle w:val="oypena"/>
          <w:rFonts w:ascii="Arial" w:hAnsi="Arial" w:cs="Arial"/>
        </w:rPr>
        <w:t>monde des affaires se mêle de nos affaires !</w:t>
      </w:r>
    </w:p>
    <w:p w:rsidR="00714D19" w:rsidRPr="00714D19" w:rsidRDefault="00714D19" w:rsidP="00714D19">
      <w:pPr>
        <w:pStyle w:val="Titre2"/>
        <w:jc w:val="center"/>
        <w:rPr>
          <w:rStyle w:val="oypena"/>
          <w:rFonts w:ascii="Arial" w:hAnsi="Arial" w:cs="Arial"/>
          <w:color w:val="000000"/>
        </w:rPr>
      </w:pPr>
      <w:r w:rsidRPr="00714D19">
        <w:rPr>
          <w:rStyle w:val="oypena"/>
          <w:rFonts w:ascii="Arial" w:hAnsi="Arial" w:cs="Arial"/>
          <w:color w:val="000000"/>
        </w:rPr>
        <w:t xml:space="preserve">Survol des impacts de la philanthropie et du désengagement de l’État sur </w:t>
      </w:r>
      <w:bookmarkStart w:id="0" w:name="_GoBack"/>
      <w:bookmarkEnd w:id="0"/>
      <w:r w:rsidRPr="00714D19">
        <w:rPr>
          <w:rStyle w:val="oypena"/>
          <w:rFonts w:ascii="Arial" w:hAnsi="Arial" w:cs="Arial"/>
          <w:color w:val="000000"/>
        </w:rPr>
        <w:t>la société et l’action communautaire autonome (ACA).</w:t>
      </w:r>
    </w:p>
    <w:p w:rsidR="00714D19" w:rsidRPr="00714D19" w:rsidRDefault="00714D19" w:rsidP="00714D19">
      <w:pPr>
        <w:rPr>
          <w:rFonts w:ascii="Arial" w:hAnsi="Arial" w:cs="Arial"/>
        </w:rPr>
      </w:pPr>
    </w:p>
    <w:p w:rsidR="00714D19" w:rsidRPr="00714D19" w:rsidRDefault="00714D19" w:rsidP="00714D19">
      <w:pPr>
        <w:pStyle w:val="cvgsua"/>
        <w:spacing w:line="270" w:lineRule="atLeast"/>
        <w:rPr>
          <w:rFonts w:ascii="Arial" w:hAnsi="Arial" w:cs="Arial"/>
          <w:color w:val="000000"/>
        </w:rPr>
      </w:pPr>
      <w:r w:rsidRPr="00714D19">
        <w:rPr>
          <w:rStyle w:val="oypena"/>
          <w:rFonts w:ascii="Arial" w:hAnsi="Arial" w:cs="Arial"/>
          <w:color w:val="000000"/>
        </w:rPr>
        <w:t>Récemment, les ententes de financement entre d’importants regroupements d’organismes communautaires et diverses fondations privées se sont multipliées. Ce n’est pas un soudain intérêt des fondations pour la transformation sociale qui guide cet élan de «générosité», mais bien une loi fédérale qui les force à hausser leur pourcentage d’investissement.</w:t>
      </w:r>
    </w:p>
    <w:p w:rsidR="00714D19" w:rsidRPr="00714D19" w:rsidRDefault="00714D19" w:rsidP="00714D19">
      <w:pPr>
        <w:pStyle w:val="cvgsua"/>
        <w:spacing w:line="270" w:lineRule="atLeast"/>
        <w:rPr>
          <w:rFonts w:ascii="Arial" w:hAnsi="Arial" w:cs="Arial"/>
          <w:color w:val="000000"/>
        </w:rPr>
      </w:pPr>
      <w:r w:rsidRPr="00714D19">
        <w:rPr>
          <w:rStyle w:val="oypena"/>
          <w:rFonts w:ascii="Arial" w:hAnsi="Arial" w:cs="Arial"/>
          <w:color w:val="000000"/>
        </w:rPr>
        <w:t xml:space="preserve">Alors que les gains sont nombreux pour les riches donateurs et les fondations (redorer leur image, gain en influence, congés fiscaux, etc.), certains organismes d’action communautaire autonome obtiennent un financement instable qui est couplé avec un désengagement de l’État. </w:t>
      </w:r>
      <w:r w:rsidRPr="00714D19">
        <w:rPr>
          <w:rStyle w:val="oypena"/>
          <w:rFonts w:ascii="Arial" w:hAnsi="Arial" w:cs="Arial"/>
          <w:b/>
          <w:bCs/>
          <w:color w:val="000000"/>
        </w:rPr>
        <w:t xml:space="preserve">Qui sort gagnant de cet élan de «générosité» ? </w:t>
      </w:r>
    </w:p>
    <w:p w:rsidR="00714D19" w:rsidRDefault="00714D19" w:rsidP="00714D19">
      <w:pPr>
        <w:pStyle w:val="Titre3"/>
        <w:rPr>
          <w:rStyle w:val="oypena"/>
          <w:rFonts w:ascii="Arial" w:hAnsi="Arial" w:cs="Arial"/>
          <w:color w:val="auto"/>
          <w:sz w:val="32"/>
          <w:szCs w:val="32"/>
        </w:rPr>
      </w:pPr>
      <w:r w:rsidRPr="00714D19">
        <w:rPr>
          <w:rStyle w:val="oypena"/>
          <w:rFonts w:ascii="Arial" w:hAnsi="Arial" w:cs="Arial"/>
          <w:color w:val="000000"/>
          <w:sz w:val="32"/>
          <w:szCs w:val="32"/>
        </w:rPr>
        <w:t xml:space="preserve">Quelles sont les </w:t>
      </w:r>
      <w:r w:rsidRPr="00714D19">
        <w:rPr>
          <w:rStyle w:val="oypena"/>
          <w:rFonts w:ascii="Arial" w:hAnsi="Arial" w:cs="Arial"/>
          <w:color w:val="auto"/>
          <w:sz w:val="32"/>
          <w:szCs w:val="32"/>
        </w:rPr>
        <w:t>conséquences sur notre filet social ?</w:t>
      </w:r>
    </w:p>
    <w:p w:rsidR="002C2875" w:rsidRPr="002C2875" w:rsidRDefault="002C2875" w:rsidP="00714D19">
      <w:pPr>
        <w:rPr>
          <w:rStyle w:val="oypena"/>
          <w:rFonts w:ascii="Arial" w:hAnsi="Arial" w:cs="Arial"/>
          <w:color w:val="000000"/>
          <w:sz w:val="24"/>
          <w:szCs w:val="24"/>
        </w:rPr>
      </w:pPr>
    </w:p>
    <w:p w:rsidR="00714D19" w:rsidRPr="002C2875" w:rsidRDefault="002C2875" w:rsidP="002C2875">
      <w:pPr>
        <w:pStyle w:val="Titre4"/>
        <w:rPr>
          <w:rFonts w:ascii="Arial" w:hAnsi="Arial" w:cs="Arial"/>
          <w:b/>
          <w:i w:val="0"/>
          <w:sz w:val="24"/>
          <w:szCs w:val="24"/>
        </w:rPr>
      </w:pPr>
      <w:r w:rsidRPr="002C2875">
        <w:rPr>
          <w:rStyle w:val="oypena"/>
          <w:rFonts w:ascii="Arial" w:hAnsi="Arial" w:cs="Arial"/>
          <w:b/>
          <w:i w:val="0"/>
          <w:color w:val="000000"/>
          <w:sz w:val="24"/>
          <w:szCs w:val="24"/>
        </w:rPr>
        <w:t>Évitement fiscal au profit des plus riches</w:t>
      </w:r>
    </w:p>
    <w:p w:rsidR="00714D19" w:rsidRPr="002C2875" w:rsidRDefault="002C2875" w:rsidP="00714D19">
      <w:pPr>
        <w:rPr>
          <w:rStyle w:val="oypena"/>
          <w:rFonts w:ascii="Arial" w:hAnsi="Arial" w:cs="Arial"/>
          <w:color w:val="000000"/>
          <w:sz w:val="24"/>
          <w:szCs w:val="24"/>
        </w:rPr>
      </w:pPr>
      <w:r w:rsidRPr="002C2875">
        <w:rPr>
          <w:rStyle w:val="oypena"/>
          <w:rFonts w:ascii="Arial" w:hAnsi="Arial" w:cs="Arial"/>
          <w:color w:val="000000"/>
          <w:sz w:val="24"/>
          <w:szCs w:val="24"/>
        </w:rPr>
        <w:t>Les fondations sont un véhicule fiscal permettant aux riches de mettre leurs fortunes à l’abri de l’impôt. Par cet évitement fiscal, l’État se prive de sommes considérables qui ne peuvent plus être investies dans une redistribution équitable des richesses.</w:t>
      </w:r>
    </w:p>
    <w:p w:rsidR="002C2875" w:rsidRPr="004F5578" w:rsidRDefault="002C2875" w:rsidP="002C2875">
      <w:pPr>
        <w:pStyle w:val="Titre4"/>
        <w:rPr>
          <w:rStyle w:val="oypena"/>
          <w:rFonts w:ascii="Arial" w:hAnsi="Arial" w:cs="Arial"/>
          <w:b/>
          <w:i w:val="0"/>
          <w:color w:val="auto"/>
          <w:sz w:val="24"/>
          <w:szCs w:val="24"/>
        </w:rPr>
      </w:pPr>
      <w:r w:rsidRPr="002C2875">
        <w:rPr>
          <w:rStyle w:val="oypena"/>
          <w:rFonts w:ascii="Arial" w:hAnsi="Arial" w:cs="Arial"/>
          <w:b/>
          <w:i w:val="0"/>
          <w:color w:val="000000"/>
          <w:sz w:val="24"/>
          <w:szCs w:val="24"/>
        </w:rPr>
        <w:t xml:space="preserve">La </w:t>
      </w:r>
      <w:r w:rsidRPr="004F5578">
        <w:rPr>
          <w:rStyle w:val="oypena"/>
          <w:rFonts w:ascii="Arial" w:hAnsi="Arial" w:cs="Arial"/>
          <w:b/>
          <w:i w:val="0"/>
          <w:color w:val="auto"/>
          <w:sz w:val="24"/>
          <w:szCs w:val="24"/>
        </w:rPr>
        <w:t>priorisation des enjeux sociaux au privé</w:t>
      </w:r>
    </w:p>
    <w:p w:rsidR="002C2875" w:rsidRPr="004F5578" w:rsidRDefault="002C2875" w:rsidP="00714D19">
      <w:pPr>
        <w:rPr>
          <w:rStyle w:val="oypena"/>
          <w:rFonts w:ascii="Arial" w:hAnsi="Arial" w:cs="Arial"/>
          <w:sz w:val="24"/>
          <w:szCs w:val="24"/>
        </w:rPr>
      </w:pPr>
      <w:r w:rsidRPr="004F5578">
        <w:rPr>
          <w:rStyle w:val="oypena"/>
          <w:rFonts w:ascii="Arial" w:hAnsi="Arial" w:cs="Arial"/>
          <w:sz w:val="24"/>
          <w:szCs w:val="24"/>
        </w:rPr>
        <w:t>Plutôt que de décider des enjeux prioritaires en société par des processus démocratiques, la philanthropie favorise le financement basé sur la « popularité » des enjeux. En laissant la gestion des enjeux prioritaires aux fondations, l’État permet la création de trous dans le filet social.</w:t>
      </w:r>
    </w:p>
    <w:p w:rsidR="002C2875" w:rsidRPr="004F5578" w:rsidRDefault="004F5578" w:rsidP="004F5578">
      <w:pPr>
        <w:pStyle w:val="Titre4"/>
        <w:rPr>
          <w:rStyle w:val="oypena"/>
          <w:rFonts w:ascii="Arial" w:hAnsi="Arial" w:cs="Arial"/>
          <w:b/>
          <w:i w:val="0"/>
          <w:color w:val="auto"/>
          <w:sz w:val="24"/>
          <w:szCs w:val="24"/>
        </w:rPr>
      </w:pPr>
      <w:r w:rsidRPr="004F5578">
        <w:rPr>
          <w:rStyle w:val="oypena"/>
          <w:rFonts w:ascii="Arial" w:hAnsi="Arial" w:cs="Arial"/>
          <w:b/>
          <w:i w:val="0"/>
          <w:color w:val="auto"/>
          <w:sz w:val="24"/>
          <w:szCs w:val="24"/>
        </w:rPr>
        <w:t>Détournement de fonds publics</w:t>
      </w:r>
    </w:p>
    <w:p w:rsidR="004F5578" w:rsidRPr="004F5578" w:rsidRDefault="004F5578" w:rsidP="00714D19">
      <w:pPr>
        <w:rPr>
          <w:rStyle w:val="oypena"/>
          <w:rFonts w:ascii="Arial" w:hAnsi="Arial" w:cs="Arial"/>
          <w:sz w:val="24"/>
          <w:szCs w:val="24"/>
        </w:rPr>
      </w:pPr>
      <w:r w:rsidRPr="004F5578">
        <w:rPr>
          <w:rStyle w:val="oypena"/>
          <w:rFonts w:ascii="Arial" w:hAnsi="Arial" w:cs="Arial"/>
          <w:sz w:val="24"/>
          <w:szCs w:val="24"/>
        </w:rPr>
        <w:t>Plusieurs fondations font des partenariats public-privé (PPP). Ces ententes sont financées à la fois par des fonds publics et des sommes d’une fondation privée. Elles sont construites sans débat public et détour</w:t>
      </w:r>
      <w:r w:rsidRPr="004F5578">
        <w:rPr>
          <w:rStyle w:val="oypena"/>
          <w:rFonts w:ascii="Arial" w:hAnsi="Arial" w:cs="Arial"/>
          <w:sz w:val="24"/>
          <w:szCs w:val="24"/>
        </w:rPr>
        <w:t xml:space="preserve">nent de grandes sommes d’argent. </w:t>
      </w:r>
    </w:p>
    <w:p w:rsidR="004F5578" w:rsidRPr="004F5578" w:rsidRDefault="004F5578" w:rsidP="004F5578">
      <w:pPr>
        <w:pStyle w:val="Titre4"/>
        <w:rPr>
          <w:rStyle w:val="oypena"/>
          <w:rFonts w:ascii="Arial" w:hAnsi="Arial" w:cs="Arial"/>
          <w:b/>
          <w:i w:val="0"/>
          <w:color w:val="auto"/>
          <w:sz w:val="24"/>
          <w:szCs w:val="24"/>
        </w:rPr>
      </w:pPr>
      <w:r w:rsidRPr="004F5578">
        <w:rPr>
          <w:rStyle w:val="oypena"/>
          <w:rFonts w:ascii="Arial" w:hAnsi="Arial" w:cs="Arial"/>
          <w:b/>
          <w:i w:val="0"/>
          <w:color w:val="auto"/>
          <w:sz w:val="24"/>
          <w:szCs w:val="24"/>
        </w:rPr>
        <w:t>Désengagement de l’État</w:t>
      </w:r>
    </w:p>
    <w:p w:rsidR="004F5578" w:rsidRPr="004F5578" w:rsidRDefault="004F5578" w:rsidP="00714D19">
      <w:pPr>
        <w:rPr>
          <w:rStyle w:val="oypena"/>
          <w:rFonts w:ascii="Arial" w:hAnsi="Arial" w:cs="Arial"/>
          <w:sz w:val="24"/>
          <w:szCs w:val="24"/>
        </w:rPr>
      </w:pPr>
      <w:r w:rsidRPr="004F5578">
        <w:rPr>
          <w:rStyle w:val="oypena"/>
          <w:rFonts w:ascii="Arial" w:hAnsi="Arial" w:cs="Arial"/>
          <w:sz w:val="24"/>
          <w:szCs w:val="24"/>
        </w:rPr>
        <w:t>Lorsque l’État coupe dans le filet social, cela ouvre la porte au privé. Plus les philanthropes investissent dans les sphères de la société qui devraient être financées par le gouvernement, plus celui-ci se désengage de notre filet social. C’est un cercle vicieux.</w:t>
      </w:r>
    </w:p>
    <w:p w:rsidR="004F5578" w:rsidRPr="004F5578" w:rsidRDefault="004F5578" w:rsidP="004F5578">
      <w:pPr>
        <w:pStyle w:val="Titre4"/>
        <w:rPr>
          <w:rStyle w:val="oypena"/>
          <w:rFonts w:ascii="Arial" w:hAnsi="Arial" w:cs="Arial"/>
          <w:b/>
          <w:i w:val="0"/>
          <w:color w:val="auto"/>
          <w:sz w:val="24"/>
          <w:szCs w:val="24"/>
        </w:rPr>
      </w:pPr>
      <w:r w:rsidRPr="004F5578">
        <w:rPr>
          <w:rStyle w:val="oypena"/>
          <w:rFonts w:ascii="Arial" w:hAnsi="Arial" w:cs="Arial"/>
          <w:b/>
          <w:i w:val="0"/>
          <w:color w:val="auto"/>
          <w:sz w:val="24"/>
          <w:szCs w:val="24"/>
        </w:rPr>
        <w:lastRenderedPageBreak/>
        <w:t>Augmentation des inégalités</w:t>
      </w:r>
    </w:p>
    <w:p w:rsidR="004F5578" w:rsidRPr="004F5578" w:rsidRDefault="004F5578" w:rsidP="00714D19">
      <w:pPr>
        <w:rPr>
          <w:rStyle w:val="oypena"/>
          <w:rFonts w:ascii="Arial" w:hAnsi="Arial" w:cs="Arial"/>
          <w:sz w:val="24"/>
          <w:szCs w:val="24"/>
        </w:rPr>
      </w:pPr>
      <w:r w:rsidRPr="004F5578">
        <w:rPr>
          <w:rStyle w:val="oypena"/>
          <w:rFonts w:ascii="Arial" w:hAnsi="Arial" w:cs="Arial"/>
          <w:sz w:val="24"/>
          <w:szCs w:val="24"/>
        </w:rPr>
        <w:t>Moins de redistribution équitable, plus de pouvoir au privé, des décisions prises par des gens fortunés, un État qui se désengage, moins de place pour la population, ce sont plusieurs indicateurs inquiétants pour l’augmentation des inégalités économiques et de pouvoir politique.</w:t>
      </w:r>
    </w:p>
    <w:p w:rsidR="00714D19" w:rsidRPr="00714D19" w:rsidRDefault="00714D19" w:rsidP="00714D19"/>
    <w:p w:rsidR="00DD79AA" w:rsidRPr="00714D19" w:rsidRDefault="00714D19" w:rsidP="00714D19">
      <w:pPr>
        <w:pStyle w:val="Titre3"/>
        <w:rPr>
          <w:rStyle w:val="oypena"/>
          <w:rFonts w:ascii="Arial" w:hAnsi="Arial" w:cs="Arial"/>
          <w:color w:val="000000"/>
          <w:sz w:val="32"/>
          <w:szCs w:val="32"/>
        </w:rPr>
      </w:pPr>
      <w:r w:rsidRPr="00714D19">
        <w:rPr>
          <w:rStyle w:val="oypena"/>
          <w:rFonts w:ascii="Arial" w:hAnsi="Arial" w:cs="Arial"/>
          <w:color w:val="000000"/>
          <w:sz w:val="32"/>
          <w:szCs w:val="32"/>
        </w:rPr>
        <w:t>Quels sont les impacts sur l’action communautaire autonome (ACA) ?</w:t>
      </w:r>
    </w:p>
    <w:p w:rsidR="00714D19" w:rsidRPr="004F5578" w:rsidRDefault="00714D19" w:rsidP="00714D19">
      <w:pPr>
        <w:rPr>
          <w:rFonts w:ascii="Arial" w:hAnsi="Arial" w:cs="Arial"/>
          <w:sz w:val="24"/>
          <w:szCs w:val="24"/>
        </w:rPr>
      </w:pPr>
    </w:p>
    <w:p w:rsidR="004F5578" w:rsidRPr="004F5578" w:rsidRDefault="004F5578" w:rsidP="004F5578">
      <w:pPr>
        <w:pStyle w:val="Titre4"/>
        <w:rPr>
          <w:rStyle w:val="oypena"/>
          <w:rFonts w:ascii="Arial" w:hAnsi="Arial" w:cs="Arial"/>
          <w:b/>
          <w:i w:val="0"/>
          <w:color w:val="000000"/>
          <w:sz w:val="24"/>
          <w:szCs w:val="24"/>
        </w:rPr>
      </w:pPr>
      <w:r w:rsidRPr="004F5578">
        <w:rPr>
          <w:rStyle w:val="oypena"/>
          <w:rFonts w:ascii="Arial" w:hAnsi="Arial" w:cs="Arial"/>
          <w:b/>
          <w:i w:val="0"/>
          <w:color w:val="000000"/>
          <w:sz w:val="24"/>
          <w:szCs w:val="24"/>
        </w:rPr>
        <w:t>Entrave à l’autonomie des organismes</w:t>
      </w:r>
    </w:p>
    <w:p w:rsidR="004F5578" w:rsidRPr="004F5578" w:rsidRDefault="004F5578" w:rsidP="00714D19">
      <w:pPr>
        <w:rPr>
          <w:rStyle w:val="oypena"/>
          <w:rFonts w:ascii="Arial" w:hAnsi="Arial" w:cs="Arial"/>
          <w:color w:val="000000"/>
          <w:sz w:val="24"/>
          <w:szCs w:val="24"/>
        </w:rPr>
      </w:pPr>
      <w:r w:rsidRPr="004F5578">
        <w:rPr>
          <w:rStyle w:val="oypena"/>
          <w:rFonts w:ascii="Arial" w:hAnsi="Arial" w:cs="Arial"/>
          <w:color w:val="000000"/>
          <w:sz w:val="24"/>
          <w:szCs w:val="24"/>
        </w:rPr>
        <w:t>Les fondations influencent l’action des organismes d’ACA de manière directe (ex : réorientation des priorités, exigences, langage, mode de gestion) ou indirecte (ex : changements faits par peur de représailles ou de déplaire).</w:t>
      </w:r>
    </w:p>
    <w:p w:rsidR="004F5578" w:rsidRPr="004F5578" w:rsidRDefault="004F5578" w:rsidP="004F5578">
      <w:pPr>
        <w:pStyle w:val="Titre4"/>
        <w:rPr>
          <w:rStyle w:val="oypena"/>
          <w:rFonts w:ascii="Arial" w:hAnsi="Arial" w:cs="Arial"/>
          <w:b/>
          <w:i w:val="0"/>
          <w:color w:val="000000"/>
          <w:sz w:val="24"/>
          <w:szCs w:val="24"/>
        </w:rPr>
      </w:pPr>
      <w:r w:rsidRPr="004F5578">
        <w:rPr>
          <w:rStyle w:val="oypena"/>
          <w:rFonts w:ascii="Arial" w:hAnsi="Arial" w:cs="Arial"/>
          <w:b/>
          <w:i w:val="0"/>
          <w:color w:val="000000"/>
          <w:sz w:val="24"/>
          <w:szCs w:val="24"/>
        </w:rPr>
        <w:t>Fragilisation des pratiques d’ACA</w:t>
      </w:r>
    </w:p>
    <w:p w:rsidR="004F5578" w:rsidRPr="004F5578" w:rsidRDefault="004F5578" w:rsidP="00714D19">
      <w:pPr>
        <w:rPr>
          <w:rStyle w:val="oypena"/>
          <w:rFonts w:ascii="Arial" w:hAnsi="Arial" w:cs="Arial"/>
          <w:color w:val="000000"/>
          <w:sz w:val="24"/>
          <w:szCs w:val="24"/>
        </w:rPr>
      </w:pPr>
      <w:r w:rsidRPr="004F5578">
        <w:rPr>
          <w:rStyle w:val="oypena"/>
          <w:rFonts w:ascii="Arial" w:hAnsi="Arial" w:cs="Arial"/>
          <w:color w:val="000000"/>
          <w:sz w:val="24"/>
          <w:szCs w:val="24"/>
        </w:rPr>
        <w:t>Les pratiques des fondations entrainent un passage de la défense des droits et de la mobilisation vers la concertation, l’atteinte de résultats mesurables, la gestion par projet, la création de portraits, etc. Ces nouveaux impératifs fragilisent nos objectifs de transformation sociale.</w:t>
      </w:r>
    </w:p>
    <w:p w:rsidR="004F5578" w:rsidRPr="004F5578" w:rsidRDefault="004F5578" w:rsidP="004F5578">
      <w:pPr>
        <w:pStyle w:val="Titre4"/>
        <w:rPr>
          <w:rStyle w:val="oypena"/>
          <w:rFonts w:ascii="Arial" w:hAnsi="Arial" w:cs="Arial"/>
          <w:b/>
          <w:i w:val="0"/>
          <w:color w:val="000000"/>
          <w:sz w:val="24"/>
          <w:szCs w:val="24"/>
        </w:rPr>
      </w:pPr>
      <w:r w:rsidRPr="004F5578">
        <w:rPr>
          <w:rStyle w:val="oypena"/>
          <w:rFonts w:ascii="Arial" w:hAnsi="Arial" w:cs="Arial"/>
          <w:b/>
          <w:i w:val="0"/>
          <w:color w:val="000000"/>
          <w:sz w:val="24"/>
          <w:szCs w:val="24"/>
        </w:rPr>
        <w:t>Précarisation du financement à la mission</w:t>
      </w:r>
    </w:p>
    <w:p w:rsidR="004F5578" w:rsidRPr="004F5578" w:rsidRDefault="004F5578" w:rsidP="00714D19">
      <w:pPr>
        <w:rPr>
          <w:rStyle w:val="oypena"/>
          <w:rFonts w:ascii="Arial" w:hAnsi="Arial" w:cs="Arial"/>
          <w:color w:val="000000"/>
          <w:sz w:val="24"/>
          <w:szCs w:val="24"/>
        </w:rPr>
      </w:pPr>
      <w:r w:rsidRPr="004F5578">
        <w:rPr>
          <w:rStyle w:val="oypena"/>
          <w:rFonts w:ascii="Arial" w:hAnsi="Arial" w:cs="Arial"/>
          <w:color w:val="000000"/>
          <w:sz w:val="24"/>
          <w:szCs w:val="24"/>
        </w:rPr>
        <w:t>Le désengagement de l’État force la substitution du financement à la mission par du financement par projets. Ce financement est instable, en fonction des priorités des philanthropes et peut croître ou chuter de manière abrupte.</w:t>
      </w:r>
    </w:p>
    <w:p w:rsidR="004F5578" w:rsidRPr="004F5578" w:rsidRDefault="004F5578" w:rsidP="004F5578">
      <w:pPr>
        <w:pStyle w:val="Titre4"/>
        <w:rPr>
          <w:rStyle w:val="oypena"/>
          <w:rFonts w:ascii="Arial" w:hAnsi="Arial" w:cs="Arial"/>
          <w:b/>
          <w:i w:val="0"/>
          <w:color w:val="000000"/>
          <w:sz w:val="24"/>
          <w:szCs w:val="24"/>
        </w:rPr>
      </w:pPr>
      <w:r w:rsidRPr="004F5578">
        <w:rPr>
          <w:rStyle w:val="oypena"/>
          <w:rFonts w:ascii="Arial" w:hAnsi="Arial" w:cs="Arial"/>
          <w:b/>
          <w:i w:val="0"/>
          <w:color w:val="000000"/>
          <w:sz w:val="24"/>
          <w:szCs w:val="24"/>
        </w:rPr>
        <w:t>Désolidarisation</w:t>
      </w:r>
    </w:p>
    <w:p w:rsidR="004F5578" w:rsidRPr="004F5578" w:rsidRDefault="004F5578" w:rsidP="00714D19">
      <w:pPr>
        <w:rPr>
          <w:rStyle w:val="oypena"/>
          <w:rFonts w:ascii="Arial" w:hAnsi="Arial" w:cs="Arial"/>
          <w:color w:val="000000"/>
          <w:sz w:val="24"/>
          <w:szCs w:val="24"/>
        </w:rPr>
      </w:pPr>
      <w:r w:rsidRPr="004F5578">
        <w:rPr>
          <w:rStyle w:val="oypena"/>
          <w:rFonts w:ascii="Arial" w:hAnsi="Arial" w:cs="Arial"/>
          <w:color w:val="000000"/>
          <w:sz w:val="24"/>
          <w:szCs w:val="24"/>
        </w:rPr>
        <w:t>La course au financement privé crée une compétition entre les groupes et favorise les groupes qui ont déjà des ressources importantes. La répartition inégale du financement a aussi comme impact de nuire à la création d’un front commun fort pour exiger un financement public adéquat à la mission.</w:t>
      </w:r>
    </w:p>
    <w:p w:rsidR="004F5578" w:rsidRPr="004F5578" w:rsidRDefault="004F5578" w:rsidP="004F5578">
      <w:pPr>
        <w:pStyle w:val="Titre4"/>
        <w:rPr>
          <w:rStyle w:val="oypena"/>
          <w:rFonts w:ascii="Arial" w:hAnsi="Arial" w:cs="Arial"/>
          <w:b/>
          <w:i w:val="0"/>
          <w:color w:val="000000"/>
          <w:sz w:val="24"/>
          <w:szCs w:val="24"/>
        </w:rPr>
      </w:pPr>
      <w:r w:rsidRPr="004F5578">
        <w:rPr>
          <w:rStyle w:val="oypena"/>
          <w:rFonts w:ascii="Arial" w:hAnsi="Arial" w:cs="Arial"/>
          <w:b/>
          <w:i w:val="0"/>
          <w:color w:val="000000"/>
          <w:sz w:val="24"/>
          <w:szCs w:val="24"/>
        </w:rPr>
        <w:t>Renforcement du statu quo</w:t>
      </w:r>
    </w:p>
    <w:p w:rsidR="004F5578" w:rsidRPr="004F5578" w:rsidRDefault="004F5578" w:rsidP="00714D19">
      <w:pPr>
        <w:rPr>
          <w:rFonts w:ascii="Arial" w:hAnsi="Arial" w:cs="Arial"/>
          <w:sz w:val="24"/>
          <w:szCs w:val="24"/>
        </w:rPr>
      </w:pPr>
      <w:r w:rsidRPr="004F5578">
        <w:rPr>
          <w:rStyle w:val="oypena"/>
          <w:rFonts w:ascii="Arial" w:hAnsi="Arial" w:cs="Arial"/>
          <w:color w:val="000000"/>
          <w:sz w:val="24"/>
          <w:szCs w:val="24"/>
        </w:rPr>
        <w:t>Les organismes d’ACA partent des gens et visent à transformer la société pour améliorer leurs conditions de vie. De son côté, la philanthropie tend à refléter les idées et les valeurs des plus riches. Elle contribue à maintenir le statu quo plutôt qu’à changer le monde.</w:t>
      </w:r>
    </w:p>
    <w:p w:rsidR="00714D19" w:rsidRPr="00714D19" w:rsidRDefault="00714D19" w:rsidP="00714D19">
      <w:pPr>
        <w:rPr>
          <w:rFonts w:ascii="Arial" w:hAnsi="Arial" w:cs="Arial"/>
        </w:rPr>
      </w:pPr>
    </w:p>
    <w:p w:rsidR="00714D19" w:rsidRPr="00714D19" w:rsidRDefault="00714D19" w:rsidP="004F5578">
      <w:pPr>
        <w:pStyle w:val="Titre3"/>
        <w:jc w:val="center"/>
        <w:rPr>
          <w:rStyle w:val="oypena"/>
          <w:rFonts w:ascii="Arial" w:hAnsi="Arial" w:cs="Arial"/>
          <w:color w:val="000000"/>
          <w:sz w:val="32"/>
          <w:szCs w:val="32"/>
        </w:rPr>
      </w:pPr>
      <w:r w:rsidRPr="00714D19">
        <w:rPr>
          <w:rStyle w:val="oypena"/>
          <w:rFonts w:ascii="Arial" w:hAnsi="Arial" w:cs="Arial"/>
          <w:color w:val="000000"/>
          <w:sz w:val="32"/>
          <w:szCs w:val="32"/>
        </w:rPr>
        <w:t>Quel avenir pour la transformation sociale dans tout ça?</w:t>
      </w:r>
    </w:p>
    <w:p w:rsidR="00714D19" w:rsidRPr="00714D19" w:rsidRDefault="00714D19" w:rsidP="004F5578">
      <w:pPr>
        <w:jc w:val="center"/>
        <w:rPr>
          <w:rStyle w:val="oypena"/>
          <w:rFonts w:ascii="Arial" w:hAnsi="Arial" w:cs="Arial"/>
          <w:color w:val="000000"/>
        </w:rPr>
      </w:pPr>
    </w:p>
    <w:p w:rsidR="00714D19" w:rsidRPr="00714D19" w:rsidRDefault="00714D19" w:rsidP="004F5578">
      <w:pPr>
        <w:pStyle w:val="cvgsua"/>
        <w:spacing w:line="495" w:lineRule="atLeast"/>
        <w:jc w:val="center"/>
        <w:rPr>
          <w:rStyle w:val="oypena"/>
          <w:rFonts w:ascii="Arial" w:eastAsiaTheme="majorEastAsia" w:hAnsi="Arial" w:cs="Arial"/>
          <w:sz w:val="32"/>
          <w:szCs w:val="32"/>
          <w:lang w:eastAsia="en-US"/>
        </w:rPr>
      </w:pPr>
      <w:r w:rsidRPr="00714D19">
        <w:rPr>
          <w:rStyle w:val="oypena"/>
          <w:rFonts w:ascii="Arial" w:eastAsiaTheme="majorEastAsia" w:hAnsi="Arial" w:cs="Arial"/>
          <w:color w:val="000000"/>
          <w:sz w:val="32"/>
          <w:szCs w:val="32"/>
          <w:lang w:eastAsia="en-US"/>
        </w:rPr>
        <w:lastRenderedPageBreak/>
        <w:t xml:space="preserve">Pour un filet social fort! </w:t>
      </w:r>
      <w:r w:rsidRPr="00714D19">
        <w:rPr>
          <w:rStyle w:val="oypena"/>
          <w:rFonts w:ascii="Arial" w:eastAsiaTheme="majorEastAsia" w:hAnsi="Arial" w:cs="Arial"/>
          <w:sz w:val="32"/>
          <w:szCs w:val="32"/>
          <w:lang w:eastAsia="en-US"/>
        </w:rPr>
        <w:br/>
      </w:r>
      <w:r w:rsidRPr="00714D19">
        <w:rPr>
          <w:rStyle w:val="oypena"/>
          <w:rFonts w:ascii="Arial" w:eastAsiaTheme="majorEastAsia" w:hAnsi="Arial" w:cs="Arial"/>
          <w:color w:val="000000"/>
          <w:sz w:val="32"/>
          <w:szCs w:val="32"/>
          <w:lang w:eastAsia="en-US"/>
        </w:rPr>
        <w:t>Pour un financement à la mission, indexé, public et pérenne!</w:t>
      </w:r>
    </w:p>
    <w:p w:rsidR="00714D19" w:rsidRPr="00714D19" w:rsidRDefault="00714D19" w:rsidP="00714D19">
      <w:pPr>
        <w:rPr>
          <w:rStyle w:val="oypena"/>
          <w:rFonts w:ascii="Arial" w:hAnsi="Arial" w:cs="Arial"/>
          <w:color w:val="000000"/>
          <w:sz w:val="24"/>
          <w:szCs w:val="24"/>
        </w:rPr>
      </w:pPr>
      <w:r w:rsidRPr="00714D19">
        <w:rPr>
          <w:rStyle w:val="oypena"/>
          <w:rFonts w:ascii="Arial" w:hAnsi="Arial" w:cs="Arial"/>
          <w:color w:val="000000"/>
          <w:sz w:val="24"/>
          <w:szCs w:val="24"/>
        </w:rPr>
        <w:t xml:space="preserve">Pour en savoir plus : </w:t>
      </w:r>
    </w:p>
    <w:p w:rsidR="00714D19" w:rsidRPr="00714D19" w:rsidRDefault="00714D19" w:rsidP="00714D19">
      <w:pPr>
        <w:rPr>
          <w:rFonts w:ascii="Arial" w:hAnsi="Arial" w:cs="Arial"/>
          <w:sz w:val="24"/>
          <w:szCs w:val="24"/>
        </w:rPr>
      </w:pPr>
      <w:hyperlink r:id="rId6" w:tgtFrame="_blank" w:history="1">
        <w:r w:rsidRPr="00714D19">
          <w:rPr>
            <w:rStyle w:val="Lienhypertexte"/>
            <w:rFonts w:ascii="Arial" w:hAnsi="Arial" w:cs="Arial"/>
            <w:color w:val="000000"/>
            <w:sz w:val="24"/>
            <w:szCs w:val="24"/>
          </w:rPr>
          <w:t>mepacq.qc.ca/</w:t>
        </w:r>
        <w:proofErr w:type="spellStart"/>
        <w:r w:rsidRPr="00714D19">
          <w:rPr>
            <w:rStyle w:val="Lienhypertexte"/>
            <w:rFonts w:ascii="Arial" w:hAnsi="Arial" w:cs="Arial"/>
            <w:color w:val="000000"/>
            <w:sz w:val="24"/>
            <w:szCs w:val="24"/>
          </w:rPr>
          <w:t>tool</w:t>
        </w:r>
        <w:proofErr w:type="spellEnd"/>
        <w:r w:rsidRPr="00714D19">
          <w:rPr>
            <w:rStyle w:val="Lienhypertexte"/>
            <w:rFonts w:ascii="Arial" w:hAnsi="Arial" w:cs="Arial"/>
            <w:color w:val="000000"/>
            <w:sz w:val="24"/>
            <w:szCs w:val="24"/>
          </w:rPr>
          <w:t>/philanthropie/</w:t>
        </w:r>
      </w:hyperlink>
    </w:p>
    <w:sectPr w:rsidR="00714D19" w:rsidRPr="00714D19">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834" w:rsidRDefault="00C30834" w:rsidP="004F5578">
      <w:pPr>
        <w:spacing w:after="0" w:line="240" w:lineRule="auto"/>
      </w:pPr>
      <w:r>
        <w:separator/>
      </w:r>
    </w:p>
  </w:endnote>
  <w:endnote w:type="continuationSeparator" w:id="0">
    <w:p w:rsidR="00C30834" w:rsidRDefault="00C30834" w:rsidP="004F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834" w:rsidRDefault="00C30834" w:rsidP="004F5578">
      <w:pPr>
        <w:spacing w:after="0" w:line="240" w:lineRule="auto"/>
      </w:pPr>
      <w:r>
        <w:separator/>
      </w:r>
    </w:p>
  </w:footnote>
  <w:footnote w:type="continuationSeparator" w:id="0">
    <w:p w:rsidR="00C30834" w:rsidRDefault="00C30834" w:rsidP="004F5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578" w:rsidRDefault="004F5578">
    <w:pPr>
      <w:pStyle w:val="En-tte"/>
    </w:pPr>
    <w:r>
      <w:rPr>
        <w:noProof/>
        <w:lang w:eastAsia="fr-CA"/>
      </w:rPr>
      <w:drawing>
        <wp:inline distT="0" distB="0" distL="0" distR="0">
          <wp:extent cx="952500" cy="25049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epaqx3 petite taill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714" cy="25554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D19"/>
    <w:rsid w:val="002C2875"/>
    <w:rsid w:val="004F5578"/>
    <w:rsid w:val="00714D19"/>
    <w:rsid w:val="00C30834"/>
    <w:rsid w:val="00DD79A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E35460-59D2-4E04-A47C-AEED9448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14D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14D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714D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2C287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vgsua">
    <w:name w:val="cvgsua"/>
    <w:basedOn w:val="Normal"/>
    <w:rsid w:val="00714D19"/>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oypena">
    <w:name w:val="oypena"/>
    <w:basedOn w:val="Policepardfaut"/>
    <w:rsid w:val="00714D19"/>
  </w:style>
  <w:style w:type="character" w:customStyle="1" w:styleId="Titre1Car">
    <w:name w:val="Titre 1 Car"/>
    <w:basedOn w:val="Policepardfaut"/>
    <w:link w:val="Titre1"/>
    <w:uiPriority w:val="9"/>
    <w:rsid w:val="00714D1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714D1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714D19"/>
    <w:rPr>
      <w:rFonts w:asciiTheme="majorHAnsi" w:eastAsiaTheme="majorEastAsia" w:hAnsiTheme="majorHAnsi" w:cstheme="majorBidi"/>
      <w:color w:val="1F4D78" w:themeColor="accent1" w:themeShade="7F"/>
      <w:sz w:val="24"/>
      <w:szCs w:val="24"/>
    </w:rPr>
  </w:style>
  <w:style w:type="character" w:styleId="Lienhypertexte">
    <w:name w:val="Hyperlink"/>
    <w:basedOn w:val="Policepardfaut"/>
    <w:uiPriority w:val="99"/>
    <w:semiHidden/>
    <w:unhideWhenUsed/>
    <w:rsid w:val="00714D19"/>
    <w:rPr>
      <w:color w:val="0000FF"/>
      <w:u w:val="single"/>
    </w:rPr>
  </w:style>
  <w:style w:type="character" w:customStyle="1" w:styleId="Titre4Car">
    <w:name w:val="Titre 4 Car"/>
    <w:basedOn w:val="Policepardfaut"/>
    <w:link w:val="Titre4"/>
    <w:uiPriority w:val="9"/>
    <w:rsid w:val="002C2875"/>
    <w:rPr>
      <w:rFonts w:asciiTheme="majorHAnsi" w:eastAsiaTheme="majorEastAsia" w:hAnsiTheme="majorHAnsi" w:cstheme="majorBidi"/>
      <w:i/>
      <w:iCs/>
      <w:color w:val="2E74B5" w:themeColor="accent1" w:themeShade="BF"/>
    </w:rPr>
  </w:style>
  <w:style w:type="paragraph" w:styleId="En-tte">
    <w:name w:val="header"/>
    <w:basedOn w:val="Normal"/>
    <w:link w:val="En-tteCar"/>
    <w:uiPriority w:val="99"/>
    <w:unhideWhenUsed/>
    <w:rsid w:val="004F5578"/>
    <w:pPr>
      <w:tabs>
        <w:tab w:val="center" w:pos="4320"/>
        <w:tab w:val="right" w:pos="8640"/>
      </w:tabs>
      <w:spacing w:after="0" w:line="240" w:lineRule="auto"/>
    </w:pPr>
  </w:style>
  <w:style w:type="character" w:customStyle="1" w:styleId="En-tteCar">
    <w:name w:val="En-tête Car"/>
    <w:basedOn w:val="Policepardfaut"/>
    <w:link w:val="En-tte"/>
    <w:uiPriority w:val="99"/>
    <w:rsid w:val="004F5578"/>
  </w:style>
  <w:style w:type="paragraph" w:styleId="Pieddepage">
    <w:name w:val="footer"/>
    <w:basedOn w:val="Normal"/>
    <w:link w:val="PieddepageCar"/>
    <w:uiPriority w:val="99"/>
    <w:unhideWhenUsed/>
    <w:rsid w:val="004F557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F5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6722">
      <w:bodyDiv w:val="1"/>
      <w:marLeft w:val="0"/>
      <w:marRight w:val="0"/>
      <w:marTop w:val="0"/>
      <w:marBottom w:val="0"/>
      <w:divBdr>
        <w:top w:val="none" w:sz="0" w:space="0" w:color="auto"/>
        <w:left w:val="none" w:sz="0" w:space="0" w:color="auto"/>
        <w:bottom w:val="none" w:sz="0" w:space="0" w:color="auto"/>
        <w:right w:val="none" w:sz="0" w:space="0" w:color="auto"/>
      </w:divBdr>
    </w:div>
    <w:div w:id="400300011">
      <w:bodyDiv w:val="1"/>
      <w:marLeft w:val="0"/>
      <w:marRight w:val="0"/>
      <w:marTop w:val="0"/>
      <w:marBottom w:val="0"/>
      <w:divBdr>
        <w:top w:val="none" w:sz="0" w:space="0" w:color="auto"/>
        <w:left w:val="none" w:sz="0" w:space="0" w:color="auto"/>
        <w:bottom w:val="none" w:sz="0" w:space="0" w:color="auto"/>
        <w:right w:val="none" w:sz="0" w:space="0" w:color="auto"/>
      </w:divBdr>
    </w:div>
    <w:div w:id="984359088">
      <w:bodyDiv w:val="1"/>
      <w:marLeft w:val="0"/>
      <w:marRight w:val="0"/>
      <w:marTop w:val="0"/>
      <w:marBottom w:val="0"/>
      <w:divBdr>
        <w:top w:val="none" w:sz="0" w:space="0" w:color="auto"/>
        <w:left w:val="none" w:sz="0" w:space="0" w:color="auto"/>
        <w:bottom w:val="none" w:sz="0" w:space="0" w:color="auto"/>
        <w:right w:val="none" w:sz="0" w:space="0" w:color="auto"/>
      </w:divBdr>
    </w:div>
    <w:div w:id="172032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pacq.qc.ca/tool/philanthropi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650</Words>
  <Characters>3576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MÉPACQ</dc:creator>
  <cp:keywords/>
  <dc:description/>
  <cp:lastModifiedBy>MÉPACQ</cp:lastModifiedBy>
  <cp:revision>3</cp:revision>
  <dcterms:created xsi:type="dcterms:W3CDTF">2025-02-20T17:00:00Z</dcterms:created>
  <dcterms:modified xsi:type="dcterms:W3CDTF">2025-02-20T19:10:00Z</dcterms:modified>
</cp:coreProperties>
</file>