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4165" w14:textId="6F587B73" w:rsidR="00314D6F" w:rsidRDefault="00314D6F" w:rsidP="00314D6F">
      <w:pPr>
        <w:jc w:val="center"/>
        <w:rPr>
          <w:b/>
          <w:bCs/>
          <w:sz w:val="36"/>
          <w:szCs w:val="36"/>
        </w:rPr>
      </w:pPr>
    </w:p>
    <w:p w14:paraId="163B56F8" w14:textId="67D1BD32" w:rsidR="00314D6F" w:rsidRDefault="00314D6F" w:rsidP="00314D6F">
      <w:pPr>
        <w:jc w:val="center"/>
        <w:rPr>
          <w:b/>
          <w:bCs/>
          <w:sz w:val="36"/>
          <w:szCs w:val="36"/>
        </w:rPr>
      </w:pPr>
    </w:p>
    <w:p w14:paraId="5E9286C0" w14:textId="7454098B" w:rsidR="00314D6F" w:rsidRDefault="00710AC2" w:rsidP="00314D6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22BEC" wp14:editId="56FF064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504950" cy="1294130"/>
            <wp:effectExtent l="0" t="0" r="0" b="1270"/>
            <wp:wrapSquare wrapText="bothSides"/>
            <wp:docPr id="1" name="Image 1" descr="On ne vous veut pas du bien ! - Le Vrai d'UFO's ;o)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 ne vous veut pas du bien ! - Le Vrai d'UFO's ;o) 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D6F">
        <w:rPr>
          <w:b/>
          <w:bCs/>
          <w:sz w:val="36"/>
          <w:szCs w:val="36"/>
        </w:rPr>
        <w:t>Pour se comprendre!</w:t>
      </w:r>
      <w:r w:rsidR="00314D6F" w:rsidRPr="00CB7EE4">
        <w:rPr>
          <w:b/>
          <w:bCs/>
          <w:sz w:val="36"/>
          <w:szCs w:val="36"/>
        </w:rPr>
        <w:t xml:space="preserve"> </w:t>
      </w:r>
    </w:p>
    <w:p w14:paraId="364853F5" w14:textId="25AE97B3" w:rsidR="00314D6F" w:rsidRDefault="00314D6F" w:rsidP="00314D6F">
      <w:pPr>
        <w:pBdr>
          <w:bottom w:val="single" w:sz="4" w:space="1" w:color="auto"/>
        </w:pBdr>
        <w:jc w:val="both"/>
        <w:rPr>
          <w:sz w:val="24"/>
          <w:szCs w:val="24"/>
        </w:rPr>
      </w:pPr>
      <w:r w:rsidRPr="00197E16">
        <w:rPr>
          <w:sz w:val="24"/>
          <w:szCs w:val="24"/>
        </w:rPr>
        <w:t xml:space="preserve">On tentera de limiter </w:t>
      </w:r>
      <w:r w:rsidR="00E312A7">
        <w:rPr>
          <w:sz w:val="24"/>
          <w:szCs w:val="24"/>
        </w:rPr>
        <w:t>l’</w:t>
      </w:r>
      <w:r w:rsidRPr="00197E16">
        <w:rPr>
          <w:sz w:val="24"/>
          <w:szCs w:val="24"/>
        </w:rPr>
        <w:t>utilisation d’acronymes dans la session.  Mais parfois… sans le vouloir…  Voici un petit guide pour démystifier quelques acronymes communs au MÉPACQ et dans le milieu d’ACA.</w:t>
      </w:r>
      <w:r>
        <w:rPr>
          <w:sz w:val="24"/>
          <w:szCs w:val="24"/>
        </w:rPr>
        <w:t xml:space="preserve"> En espérant que vous ne l’aurez pas à l’utiliser aujourd’hui…</w:t>
      </w:r>
    </w:p>
    <w:p w14:paraId="5B8BDBE9" w14:textId="7A7AD37F" w:rsidR="00314D6F" w:rsidRDefault="00314D6F" w:rsidP="00314D6F">
      <w:pPr>
        <w:pStyle w:val="Sansinterligne"/>
        <w:rPr>
          <w:rFonts w:asciiTheme="majorHAnsi" w:hAnsiTheme="majorHAnsi" w:cstheme="majorHAnsi"/>
          <w:sz w:val="20"/>
          <w:szCs w:val="20"/>
        </w:rPr>
        <w:sectPr w:rsidR="00314D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34C676D" w14:textId="77777777" w:rsidR="00314D6F" w:rsidRPr="00314D6F" w:rsidRDefault="00314D6F" w:rsidP="00314D6F">
      <w:pPr>
        <w:pStyle w:val="Sansinterligne"/>
        <w:rPr>
          <w:rFonts w:cstheme="minorHAnsi"/>
        </w:rPr>
      </w:pPr>
      <w:r w:rsidRPr="00314D6F">
        <w:rPr>
          <w:rFonts w:cstheme="minorHAnsi"/>
        </w:rPr>
        <w:t>AC – Action communautaire</w:t>
      </w:r>
    </w:p>
    <w:p w14:paraId="1528871C" w14:textId="77777777" w:rsidR="00314D6F" w:rsidRPr="00314D6F" w:rsidRDefault="00314D6F" w:rsidP="00314D6F">
      <w:pPr>
        <w:pStyle w:val="Sansinterligne"/>
        <w:rPr>
          <w:rFonts w:cstheme="minorHAnsi"/>
        </w:rPr>
      </w:pPr>
      <w:r w:rsidRPr="00314D6F">
        <w:rPr>
          <w:rFonts w:cstheme="minorHAnsi"/>
        </w:rPr>
        <w:t>ACA – Action communautaire autonome</w:t>
      </w:r>
    </w:p>
    <w:p w14:paraId="4ED3EDBA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ACEF – Association coopérative en économie familiale</w:t>
      </w:r>
    </w:p>
    <w:p w14:paraId="3353C70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AGA/AGR – Assemblée générale annuelle/régulière</w:t>
      </w:r>
    </w:p>
    <w:p w14:paraId="79E16248" w14:textId="0D13A1ED" w:rsidR="00C96A7D" w:rsidRDefault="00C96A7D" w:rsidP="00314D6F">
      <w:pPr>
        <w:shd w:val="clear" w:color="auto" w:fill="FFFFFF" w:themeFill="background1"/>
        <w:spacing w:after="0"/>
        <w:rPr>
          <w:rFonts w:cstheme="minorHAnsi"/>
        </w:rPr>
      </w:pPr>
      <w:r>
        <w:rPr>
          <w:rFonts w:cstheme="minorHAnsi"/>
        </w:rPr>
        <w:t xml:space="preserve">Alliés – Le MÉPACQ, RGPAQ, Table des </w:t>
      </w:r>
      <w:proofErr w:type="spellStart"/>
      <w:r>
        <w:rPr>
          <w:rFonts w:cstheme="minorHAnsi"/>
        </w:rPr>
        <w:t>fédés</w:t>
      </w:r>
      <w:proofErr w:type="spellEnd"/>
      <w:r>
        <w:rPr>
          <w:rFonts w:cstheme="minorHAnsi"/>
        </w:rPr>
        <w:t>.  Une concertation de lutte pour le financement de l’ÉPA. (1989-2002).</w:t>
      </w:r>
    </w:p>
    <w:p w14:paraId="3006EB7A" w14:textId="10A3E052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APA – Alphabétisation populaire autonome</w:t>
      </w:r>
    </w:p>
    <w:p w14:paraId="148466F0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ARUC – Alliances de recherche universités/communautés (1999-2013)</w:t>
      </w:r>
    </w:p>
    <w:p w14:paraId="366DC0D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ASSÉ – Association pour une solidarité syndicale étudiante (2001-2019)</w:t>
      </w:r>
    </w:p>
    <w:p w14:paraId="2B8B7556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CA – Conseil d’administration</w:t>
      </w:r>
    </w:p>
    <w:p w14:paraId="2021226F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CAACA</w:t>
      </w:r>
      <w:r w:rsidRPr="00314D6F">
        <w:rPr>
          <w:rFonts w:cstheme="minorHAnsi"/>
          <w:highlight w:val="cyan"/>
        </w:rPr>
        <w:fldChar w:fldCharType="begin"/>
      </w:r>
      <w:r w:rsidRPr="00314D6F">
        <w:rPr>
          <w:rFonts w:cstheme="minorHAnsi"/>
          <w:highlight w:val="cyan"/>
        </w:rPr>
        <w:fldChar w:fldCharType="end"/>
      </w:r>
      <w:r w:rsidRPr="00314D6F">
        <w:rPr>
          <w:rFonts w:cstheme="minorHAnsi"/>
        </w:rPr>
        <w:t xml:space="preserve"> – Comité aviseur de l’ACA (devenu RQACA)</w:t>
      </w:r>
    </w:p>
    <w:p w14:paraId="3232CD06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 xml:space="preserve">CAP-Monde – </w:t>
      </w:r>
      <w:r w:rsidRPr="00314D6F">
        <w:rPr>
          <w:rFonts w:cstheme="minorHAnsi"/>
          <w:shd w:val="clear" w:color="auto" w:fill="FFFFFF"/>
        </w:rPr>
        <w:t>Convergence pour l’avenir des peuples du monde (2001-2008)</w:t>
      </w:r>
    </w:p>
    <w:p w14:paraId="61F02AB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CAQ – Coalition Avenir Québec</w:t>
      </w:r>
    </w:p>
    <w:p w14:paraId="55A33F30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CDC – Corporation de développement communautaire</w:t>
      </w:r>
    </w:p>
    <w:p w14:paraId="72BC01AE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CEQ – Centrale de l’enseignement du Québec, devenu la Centrale des syndicats du Québec (CSQ)</w:t>
      </w:r>
    </w:p>
    <w:p w14:paraId="319969F8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CJE – Carrefour jeunesse emploi</w:t>
      </w:r>
    </w:p>
    <w:p w14:paraId="65832F60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COCO – Comité de coordination</w:t>
      </w:r>
    </w:p>
    <w:p w14:paraId="74BD5F5F" w14:textId="77777777" w:rsidR="00314D6F" w:rsidRPr="00314D6F" w:rsidRDefault="00314D6F" w:rsidP="00314D6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fr-CA" w:eastAsia="fr-CA"/>
        </w:rPr>
      </w:pPr>
      <w:r w:rsidRPr="00314D6F">
        <w:rPr>
          <w:rFonts w:asciiTheme="minorHAnsi" w:hAnsiTheme="minorHAnsi" w:cstheme="minorHAnsi"/>
          <w:sz w:val="22"/>
          <w:szCs w:val="22"/>
        </w:rPr>
        <w:t>COCQ – Coalition des organismes communautaires du Québec (</w:t>
      </w:r>
      <w:r w:rsidRPr="00314D6F">
        <w:rPr>
          <w:rFonts w:asciiTheme="minorHAnsi" w:hAnsiTheme="minorHAnsi" w:cstheme="minorHAnsi"/>
          <w:sz w:val="22"/>
          <w:szCs w:val="22"/>
          <w:lang w:val="fr-CA" w:eastAsia="fr-CA"/>
        </w:rPr>
        <w:t>1985-1991)</w:t>
      </w:r>
    </w:p>
    <w:p w14:paraId="2000B620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CSE – Conseil supérieur de l’éducation</w:t>
      </w:r>
    </w:p>
    <w:p w14:paraId="5657B1C8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CSN – Confédération des syndicats nationaux</w:t>
      </w:r>
    </w:p>
    <w:p w14:paraId="2AF234CF" w14:textId="0D7836EA" w:rsidR="00DF31C5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DCD – Défense collective des droits</w:t>
      </w:r>
    </w:p>
    <w:p w14:paraId="6BEB421C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DESC – Droits économiques, sociaux et culturels</w:t>
      </w:r>
    </w:p>
    <w:p w14:paraId="3B541526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ÉGÉ – États généraux sur l’éducation</w:t>
      </w:r>
    </w:p>
    <w:p w14:paraId="23BC18B7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ÉP – Éducation populaire</w:t>
      </w:r>
    </w:p>
    <w:p w14:paraId="020CEA0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ÉPA – Éducation populaire autonome</w:t>
      </w:r>
    </w:p>
    <w:p w14:paraId="447A6482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FAACA – Fonds d’aide à l’action communautaire autonome</w:t>
      </w:r>
    </w:p>
    <w:p w14:paraId="266EACE4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  <w:bCs/>
        </w:rPr>
        <w:t xml:space="preserve">FCMÉPACQ </w:t>
      </w:r>
      <w:r w:rsidRPr="00314D6F">
        <w:rPr>
          <w:rFonts w:cstheme="minorHAnsi"/>
        </w:rPr>
        <w:t xml:space="preserve">– </w:t>
      </w:r>
      <w:r w:rsidRPr="00314D6F">
        <w:rPr>
          <w:rFonts w:cstheme="minorHAnsi"/>
          <w:bCs/>
        </w:rPr>
        <w:t>Fonds de charité du MÉPACQ</w:t>
      </w:r>
    </w:p>
    <w:p w14:paraId="7EEB7340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FCPASQ – Front commun des personnes assistées sociales du Québec</w:t>
      </w:r>
    </w:p>
    <w:p w14:paraId="29B168F2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FFQ – Fédération des femmes du Québec</w:t>
      </w:r>
    </w:p>
    <w:p w14:paraId="1613C7C9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 xml:space="preserve">FRAPRU – </w:t>
      </w:r>
      <w:r w:rsidRPr="00314D6F">
        <w:rPr>
          <w:rFonts w:cstheme="minorHAnsi"/>
          <w:bCs/>
          <w:lang w:val="fr-FR"/>
        </w:rPr>
        <w:t>Front d’action populaire en réaménagement urbain</w:t>
      </w:r>
    </w:p>
    <w:p w14:paraId="0FE4228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FTQ – Fédération des travailleurs et travailleuses du Québec</w:t>
      </w:r>
    </w:p>
    <w:p w14:paraId="3E0CFA2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 xml:space="preserve">G7, G13, G20 – Groupe des 7, des 13 ou des 20 selon… </w:t>
      </w:r>
    </w:p>
    <w:p w14:paraId="12E52F44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ICÉA – Institut canadien de l’éducation des adultes, devenu Institut de coopération pour l’éducation des adultes</w:t>
      </w:r>
    </w:p>
    <w:p w14:paraId="7D5304AA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JOC – Jeunesse ouvrière catholique</w:t>
      </w:r>
    </w:p>
    <w:p w14:paraId="74E6DA1A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LDL – Ligue des droits et libertés</w:t>
      </w:r>
    </w:p>
    <w:p w14:paraId="574A0A76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MAS – ministère des Affaires sociales (1970-1985)</w:t>
      </w:r>
    </w:p>
    <w:p w14:paraId="4E8023D0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MÉPACQ – Mouvement d’éducation populaire et d’action communautaire du Québec</w:t>
      </w:r>
    </w:p>
    <w:p w14:paraId="24EABF53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MEQ – ministère de l’Éducation du Québec (1964-1993)</w:t>
      </w:r>
    </w:p>
    <w:p w14:paraId="5CBAA80B" w14:textId="6451354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MESS – ministère de l’Emploi et de la Solidarité sociale (2005-2015)</w:t>
      </w:r>
    </w:p>
    <w:p w14:paraId="7FCDA67A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lastRenderedPageBreak/>
        <w:t>MSSS – ministère de la Santé et des Services sociaux</w:t>
      </w:r>
    </w:p>
    <w:p w14:paraId="0F789986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MTESS – ministère du Travail, de l’Emploi et de la Solidarité sociale</w:t>
      </w:r>
    </w:p>
    <w:p w14:paraId="20A65F41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OCASSS – Organisme communautaire autonome en santé et services sociaux</w:t>
      </w:r>
    </w:p>
    <w:p w14:paraId="29A1159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 xml:space="preserve">ONU – Organisation des Nations unies </w:t>
      </w:r>
    </w:p>
    <w:p w14:paraId="23C5CE38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OSBL – Organisme sans but lucratif</w:t>
      </w:r>
    </w:p>
    <w:p w14:paraId="7685130E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OVEP– Organisme volontaire d’éducation populaire</w:t>
      </w:r>
    </w:p>
    <w:p w14:paraId="6A3902AF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PACTÉ – Programme d’action communautaire sur le terrain de l’éducation</w:t>
      </w:r>
    </w:p>
    <w:p w14:paraId="2828E47E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PIDESC – Pacte international relatif aux droits économiques, sociaux et culturels</w:t>
      </w:r>
    </w:p>
    <w:p w14:paraId="43D28559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PL – Projet de loi</w:t>
      </w:r>
    </w:p>
    <w:p w14:paraId="7E527D6C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PLQ – Parti libéral du Québec</w:t>
      </w:r>
    </w:p>
    <w:p w14:paraId="3DA28D1F" w14:textId="77777777" w:rsidR="00314D6F" w:rsidRPr="00314D6F" w:rsidRDefault="00314D6F" w:rsidP="00314D6F">
      <w:pPr>
        <w:pStyle w:val="Sansinterligne"/>
        <w:rPr>
          <w:rFonts w:cstheme="minorHAnsi"/>
        </w:rPr>
      </w:pPr>
      <w:bookmarkStart w:id="0" w:name="_Toc87683239"/>
      <w:r w:rsidRPr="00314D6F">
        <w:rPr>
          <w:rFonts w:cstheme="minorHAnsi"/>
        </w:rPr>
        <w:t>PQ – Parti québécois</w:t>
      </w:r>
      <w:bookmarkEnd w:id="0"/>
    </w:p>
    <w:p w14:paraId="200CC5E4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PRAC – Politique gouvernementale de reconnaissance de l’action communautaire</w:t>
      </w:r>
      <w:r w:rsidRPr="00314D6F" w:rsidDel="00BE4336">
        <w:rPr>
          <w:rFonts w:cstheme="minorHAnsi"/>
        </w:rPr>
        <w:t xml:space="preserve"> </w:t>
      </w:r>
      <w:r w:rsidRPr="00314D6F">
        <w:rPr>
          <w:rFonts w:cstheme="minorHAnsi"/>
        </w:rPr>
        <w:t>(le produit livré)</w:t>
      </w:r>
    </w:p>
    <w:p w14:paraId="25107753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PRACA – Politique de reconnaissance de l’action communautaire autonome (le produit promis)</w:t>
      </w:r>
    </w:p>
    <w:p w14:paraId="03BE672D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PSAPA – Programme de soutien à l’alphabétisation populaire autonome (1989-2005)</w:t>
      </w:r>
    </w:p>
    <w:p w14:paraId="3A88C96B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PSÉPA – Programme de soutien à l’éducation populaire autonome (1988-2005))</w:t>
      </w:r>
    </w:p>
    <w:p w14:paraId="2CA3DDD2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PSOC – Programme de soutien aux organismes communautaires</w:t>
      </w:r>
    </w:p>
    <w:p w14:paraId="258193DD" w14:textId="2D22CDAF" w:rsidR="00314D6F" w:rsidRDefault="00314D6F" w:rsidP="00314D6F">
      <w:pPr>
        <w:shd w:val="clear" w:color="auto" w:fill="FFFFFF" w:themeFill="background1"/>
        <w:spacing w:after="0"/>
        <w:rPr>
          <w:rFonts w:cstheme="minorHAnsi"/>
          <w:color w:val="202122"/>
          <w:shd w:val="clear" w:color="auto" w:fill="FFFFFF"/>
        </w:rPr>
      </w:pPr>
      <w:r w:rsidRPr="00314D6F">
        <w:rPr>
          <w:rFonts w:cstheme="minorHAnsi"/>
        </w:rPr>
        <w:t xml:space="preserve">PSP – </w:t>
      </w:r>
      <w:r w:rsidRPr="00314D6F">
        <w:rPr>
          <w:rFonts w:cstheme="minorHAnsi"/>
          <w:color w:val="202122"/>
          <w:shd w:val="clear" w:color="auto" w:fill="FFFFFF"/>
        </w:rPr>
        <w:t>Partenariat pour la sécurité et la prospérité (2005-2008)</w:t>
      </w:r>
    </w:p>
    <w:p w14:paraId="2B398419" w14:textId="1398FA40" w:rsidR="004557C7" w:rsidRPr="00314D6F" w:rsidRDefault="004557C7" w:rsidP="00314D6F">
      <w:pPr>
        <w:shd w:val="clear" w:color="auto" w:fill="FFFFFF" w:themeFill="background1"/>
        <w:spacing w:after="0"/>
        <w:rPr>
          <w:rFonts w:cstheme="minorHAnsi"/>
        </w:rPr>
      </w:pPr>
      <w:r>
        <w:rPr>
          <w:rFonts w:cstheme="minorHAnsi"/>
        </w:rPr>
        <w:t xml:space="preserve">RAPC – Régime d’assistance publique </w:t>
      </w:r>
      <w:r w:rsidR="00192C5E">
        <w:rPr>
          <w:rFonts w:cstheme="minorHAnsi"/>
        </w:rPr>
        <w:t xml:space="preserve">du </w:t>
      </w:r>
      <w:r>
        <w:rPr>
          <w:rFonts w:cstheme="minorHAnsi"/>
        </w:rPr>
        <w:t xml:space="preserve">Canada (aboli par la réforme </w:t>
      </w:r>
      <w:proofErr w:type="spellStart"/>
      <w:r>
        <w:rPr>
          <w:rFonts w:cstheme="minorHAnsi"/>
        </w:rPr>
        <w:t>Axworthy</w:t>
      </w:r>
      <w:proofErr w:type="spellEnd"/>
      <w:r>
        <w:rPr>
          <w:rFonts w:cstheme="minorHAnsi"/>
        </w:rPr>
        <w:t>, 1995)</w:t>
      </w:r>
    </w:p>
    <w:p w14:paraId="77123F34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RGPAQ – Regroupement des groupes populaires en alphabétisation du Québec</w:t>
      </w:r>
    </w:p>
    <w:p w14:paraId="120F976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RODCD – Regroupement des organismes en défense collective des droits</w:t>
      </w:r>
    </w:p>
    <w:p w14:paraId="7B2FA793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ROVEP – Regroupement des OVEP (1980-2009)</w:t>
      </w:r>
    </w:p>
    <w:p w14:paraId="6E3CA0D8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RQACA– Réseau québécois de l’action communautaire autonome</w:t>
      </w:r>
    </w:p>
    <w:p w14:paraId="26F374C8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SACA – Secrétariat à l’action communautaire autonome (1994-2006)</w:t>
      </w:r>
    </w:p>
    <w:p w14:paraId="64D3EF4D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SACAIS – Secrétariat à l’action communautaire autonome et aux initiatives sociales</w:t>
      </w:r>
    </w:p>
    <w:p w14:paraId="3190443A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SAC-UQAM – Services aux collectivités de l’Université du Québec à Montréal</w:t>
      </w:r>
    </w:p>
    <w:p w14:paraId="06962417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SPQ – Solidarité populaire Québec (1986-1998)</w:t>
      </w:r>
    </w:p>
    <w:p w14:paraId="48F3309D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SQ – Sûreté du Québec</w:t>
      </w:r>
    </w:p>
    <w:p w14:paraId="349CE1F5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SSS – Santé et services sociaux</w:t>
      </w:r>
    </w:p>
    <w:p w14:paraId="01955591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 xml:space="preserve">Table des </w:t>
      </w:r>
      <w:proofErr w:type="spellStart"/>
      <w:r w:rsidRPr="00314D6F">
        <w:rPr>
          <w:rFonts w:cstheme="minorHAnsi"/>
        </w:rPr>
        <w:t>fédés</w:t>
      </w:r>
      <w:proofErr w:type="spellEnd"/>
      <w:r w:rsidRPr="00314D6F">
        <w:rPr>
          <w:rFonts w:cstheme="minorHAnsi"/>
        </w:rPr>
        <w:t xml:space="preserve"> – Table des fédérations et organismes nationaux en ÉPA (1988-2006)</w:t>
      </w:r>
    </w:p>
    <w:p w14:paraId="59003BD2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TROC – Table régionale des organismes communautaires</w:t>
      </w:r>
    </w:p>
    <w:p w14:paraId="7903BE34" w14:textId="77777777" w:rsidR="00314D6F" w:rsidRP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TROVEP – Table ronde (ou régionale) des organismes volontaires d’éducation populaire</w:t>
      </w:r>
    </w:p>
    <w:p w14:paraId="1FA4D12C" w14:textId="3FB6CC52" w:rsidR="00314D6F" w:rsidRDefault="00314D6F" w:rsidP="00314D6F">
      <w:pPr>
        <w:shd w:val="clear" w:color="auto" w:fill="FFFFFF" w:themeFill="background1"/>
        <w:spacing w:after="0"/>
        <w:rPr>
          <w:rFonts w:cstheme="minorHAnsi"/>
        </w:rPr>
      </w:pPr>
      <w:r w:rsidRPr="00314D6F">
        <w:rPr>
          <w:rFonts w:cstheme="minorHAnsi"/>
        </w:rPr>
        <w:t>TRPOCB – Table des regroupements provinciaux d’organismes communautaires et bénévoles</w:t>
      </w:r>
      <w:r w:rsidR="00710AC2">
        <w:rPr>
          <w:rFonts w:cstheme="minorHAnsi"/>
        </w:rPr>
        <w:t>. Longtemps connu comme « </w:t>
      </w:r>
      <w:r w:rsidR="00710AC2" w:rsidRPr="004557C7">
        <w:rPr>
          <w:rFonts w:cstheme="minorHAnsi"/>
          <w:i/>
          <w:iCs/>
        </w:rPr>
        <w:t>La Table des 27</w:t>
      </w:r>
      <w:r w:rsidR="00710AC2">
        <w:rPr>
          <w:rFonts w:cstheme="minorHAnsi"/>
        </w:rPr>
        <w:t> ».</w:t>
      </w:r>
    </w:p>
    <w:p w14:paraId="62C942B3" w14:textId="1D2BCF51" w:rsidR="004557C7" w:rsidRPr="00314D6F" w:rsidRDefault="004557C7" w:rsidP="00314D6F">
      <w:pPr>
        <w:shd w:val="clear" w:color="auto" w:fill="FFFFFF" w:themeFill="background1"/>
        <w:spacing w:after="0"/>
        <w:rPr>
          <w:rFonts w:cstheme="minorHAnsi"/>
        </w:rPr>
      </w:pPr>
      <w:r>
        <w:rPr>
          <w:rFonts w:cstheme="minorHAnsi"/>
        </w:rPr>
        <w:t>TSC – Transfert social canadien</w:t>
      </w:r>
    </w:p>
    <w:p w14:paraId="10F93744" w14:textId="77777777" w:rsidR="00314D6F" w:rsidRPr="00314D6F" w:rsidRDefault="00314D6F" w:rsidP="00314D6F">
      <w:pPr>
        <w:spacing w:after="0"/>
        <w:rPr>
          <w:rFonts w:cstheme="minorHAnsi"/>
        </w:rPr>
      </w:pPr>
      <w:r w:rsidRPr="00314D6F">
        <w:rPr>
          <w:rFonts w:cstheme="minorHAnsi"/>
        </w:rPr>
        <w:t>ZLÉA– Zone de libre-échange des Amériques (1994-2009)</w:t>
      </w:r>
    </w:p>
    <w:p w14:paraId="1F8055CF" w14:textId="77777777" w:rsidR="00314D6F" w:rsidRDefault="00314D6F" w:rsidP="00314D6F">
      <w:pPr>
        <w:rPr>
          <w:sz w:val="24"/>
          <w:szCs w:val="24"/>
        </w:rPr>
        <w:sectPr w:rsidR="00314D6F" w:rsidSect="00314D6F">
          <w:type w:val="continuous"/>
          <w:pgSz w:w="12240" w:h="15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3C9DA9C" w14:textId="77777777" w:rsidR="00314D6F" w:rsidRPr="0028366E" w:rsidRDefault="00314D6F" w:rsidP="00314D6F">
      <w:pPr>
        <w:rPr>
          <w:sz w:val="24"/>
          <w:szCs w:val="24"/>
        </w:rPr>
      </w:pPr>
    </w:p>
    <w:p w14:paraId="1D301AE3" w14:textId="77777777" w:rsidR="00314D6F" w:rsidRDefault="00314D6F"/>
    <w:sectPr w:rsidR="00314D6F" w:rsidSect="00314D6F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A195" w14:textId="77777777" w:rsidR="00163B51" w:rsidRDefault="00163B51" w:rsidP="00EF14E7">
      <w:pPr>
        <w:spacing w:after="0" w:line="240" w:lineRule="auto"/>
      </w:pPr>
      <w:r>
        <w:separator/>
      </w:r>
    </w:p>
  </w:endnote>
  <w:endnote w:type="continuationSeparator" w:id="0">
    <w:p w14:paraId="087511AF" w14:textId="77777777" w:rsidR="00163B51" w:rsidRDefault="00163B51" w:rsidP="00EF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A240" w14:textId="77777777" w:rsidR="00EF14E7" w:rsidRDefault="00EF14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8C8B" w14:textId="77777777" w:rsidR="00EF14E7" w:rsidRDefault="00EF14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1202" w14:textId="77777777" w:rsidR="00EF14E7" w:rsidRDefault="00EF1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012AC" w14:textId="77777777" w:rsidR="00163B51" w:rsidRDefault="00163B51" w:rsidP="00EF14E7">
      <w:pPr>
        <w:spacing w:after="0" w:line="240" w:lineRule="auto"/>
      </w:pPr>
      <w:r>
        <w:separator/>
      </w:r>
    </w:p>
  </w:footnote>
  <w:footnote w:type="continuationSeparator" w:id="0">
    <w:p w14:paraId="414F3303" w14:textId="77777777" w:rsidR="00163B51" w:rsidRDefault="00163B51" w:rsidP="00EF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F014" w14:textId="77777777" w:rsidR="00EF14E7" w:rsidRDefault="00EF14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F4CB" w14:textId="525A30AB" w:rsidR="00EF14E7" w:rsidRPr="007E1C7B" w:rsidRDefault="00EF14E7">
    <w:pPr>
      <w:pStyle w:val="En-tte"/>
      <w:rPr>
        <w:i/>
        <w:iCs/>
        <w:sz w:val="20"/>
        <w:szCs w:val="20"/>
      </w:rPr>
    </w:pPr>
    <w:r w:rsidRPr="00EF14E7">
      <w:rPr>
        <w:i/>
        <w:iCs/>
        <w:sz w:val="20"/>
        <w:szCs w:val="20"/>
      </w:rPr>
      <w:t xml:space="preserve">Outil #2                                                     40 ans de luttes : </w:t>
    </w:r>
    <w:proofErr w:type="spellStart"/>
    <w:r w:rsidRPr="00EF14E7">
      <w:rPr>
        <w:i/>
        <w:iCs/>
        <w:sz w:val="20"/>
        <w:szCs w:val="20"/>
      </w:rPr>
      <w:t>Qu’ossa</w:t>
    </w:r>
    <w:proofErr w:type="spellEnd"/>
    <w:r w:rsidRPr="00EF14E7">
      <w:rPr>
        <w:i/>
        <w:iCs/>
        <w:sz w:val="20"/>
        <w:szCs w:val="20"/>
      </w:rPr>
      <w:t xml:space="preserve"> donne?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5DC7" w14:textId="77777777" w:rsidR="00EF14E7" w:rsidRDefault="00EF14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6F"/>
    <w:rsid w:val="00163B51"/>
    <w:rsid w:val="00192C5E"/>
    <w:rsid w:val="00314D6F"/>
    <w:rsid w:val="00344071"/>
    <w:rsid w:val="004557C7"/>
    <w:rsid w:val="005308C4"/>
    <w:rsid w:val="00710AC2"/>
    <w:rsid w:val="007E1C7B"/>
    <w:rsid w:val="00A06CA7"/>
    <w:rsid w:val="00AE66DB"/>
    <w:rsid w:val="00B849CC"/>
    <w:rsid w:val="00C96A7D"/>
    <w:rsid w:val="00DA5236"/>
    <w:rsid w:val="00DF31C5"/>
    <w:rsid w:val="00E312A7"/>
    <w:rsid w:val="00EF14E7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3CF2"/>
  <w15:chartTrackingRefBased/>
  <w15:docId w15:val="{F0EB92F9-FF0F-4A23-BFC3-05F168F6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4D6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1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EF1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14E7"/>
  </w:style>
  <w:style w:type="paragraph" w:styleId="Pieddepage">
    <w:name w:val="footer"/>
    <w:basedOn w:val="Normal"/>
    <w:link w:val="PieddepageCar"/>
    <w:uiPriority w:val="99"/>
    <w:unhideWhenUsed/>
    <w:rsid w:val="00EF1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greason</dc:creator>
  <cp:keywords/>
  <dc:description/>
  <cp:lastModifiedBy>vincent greason</cp:lastModifiedBy>
  <cp:revision>2</cp:revision>
  <cp:lastPrinted>2022-08-03T15:03:00Z</cp:lastPrinted>
  <dcterms:created xsi:type="dcterms:W3CDTF">2023-09-15T15:14:00Z</dcterms:created>
  <dcterms:modified xsi:type="dcterms:W3CDTF">2023-09-15T15:14:00Z</dcterms:modified>
</cp:coreProperties>
</file>