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B0" w:rsidRDefault="002A711F">
      <w:pPr>
        <w:jc w:val="center"/>
        <w:rPr>
          <w:b/>
          <w:sz w:val="24"/>
          <w:szCs w:val="24"/>
        </w:rPr>
      </w:pPr>
      <w:r>
        <w:rPr>
          <w:b/>
          <w:sz w:val="24"/>
          <w:szCs w:val="24"/>
        </w:rPr>
        <w:t>Les banques : quelques faits</w:t>
      </w:r>
    </w:p>
    <w:p w:rsidR="007615B0" w:rsidRDefault="002A711F">
      <w:pPr>
        <w:jc w:val="center"/>
        <w:rPr>
          <w:b/>
          <w:sz w:val="24"/>
          <w:szCs w:val="24"/>
        </w:rPr>
      </w:pPr>
      <w:r>
        <w:rPr>
          <w:b/>
          <w:sz w:val="24"/>
          <w:szCs w:val="24"/>
        </w:rPr>
        <w:t>En vue de la journée d’action pour la justice sociale et climatique du 22 avril 2022</w:t>
      </w:r>
    </w:p>
    <w:p w:rsidR="007615B0" w:rsidRDefault="002A711F">
      <w:pPr>
        <w:spacing w:before="240" w:after="240"/>
        <w:rPr>
          <w:b/>
          <w:sz w:val="26"/>
          <w:szCs w:val="26"/>
        </w:rPr>
      </w:pPr>
      <w:r>
        <w:rPr>
          <w:sz w:val="24"/>
          <w:szCs w:val="24"/>
        </w:rPr>
        <w:t xml:space="preserve">Nous vous proposons d’organiser vos mobilisations autour d’un symbole </w:t>
      </w:r>
      <w:r w:rsidR="00763518">
        <w:rPr>
          <w:sz w:val="24"/>
          <w:szCs w:val="24"/>
        </w:rPr>
        <w:t>des inégalités et de la</w:t>
      </w:r>
      <w:r>
        <w:rPr>
          <w:sz w:val="24"/>
          <w:szCs w:val="24"/>
        </w:rPr>
        <w:t xml:space="preserve"> destruction de la planète: les banques!</w:t>
      </w:r>
    </w:p>
    <w:p w:rsidR="007615B0" w:rsidRDefault="002A711F">
      <w:pPr>
        <w:rPr>
          <w:sz w:val="24"/>
          <w:szCs w:val="24"/>
        </w:rPr>
      </w:pPr>
      <w:r>
        <w:rPr>
          <w:b/>
          <w:i/>
          <w:sz w:val="24"/>
          <w:szCs w:val="24"/>
        </w:rPr>
        <w:t>Pourquoi les banques?</w:t>
      </w:r>
      <w:r>
        <w:rPr>
          <w:sz w:val="24"/>
          <w:szCs w:val="24"/>
        </w:rPr>
        <w:br/>
        <w:t>Les banques sont un très bon exemple des problèmes de notre système économique. Leurs pro</w:t>
      </w:r>
      <w:r>
        <w:rPr>
          <w:sz w:val="24"/>
          <w:szCs w:val="24"/>
        </w:rPr>
        <w:t xml:space="preserve">fits ne cessent de grandir et elles utilisent leur argent pour investir dans des industries polluantes et des multinationales qui offrent des conditions de travail pitoyable. Elles font la promotion d’une logique qui nuit au bien commun : les profits sont </w:t>
      </w:r>
      <w:r>
        <w:rPr>
          <w:sz w:val="24"/>
          <w:szCs w:val="24"/>
        </w:rPr>
        <w:t xml:space="preserve">plus importants que nos conditions de vie. </w:t>
      </w:r>
    </w:p>
    <w:p w:rsidR="007615B0" w:rsidRDefault="002A711F">
      <w:pPr>
        <w:rPr>
          <w:b/>
          <w:sz w:val="24"/>
          <w:szCs w:val="24"/>
        </w:rPr>
      </w:pPr>
      <w:r>
        <w:rPr>
          <w:sz w:val="24"/>
          <w:szCs w:val="24"/>
        </w:rPr>
        <w:br/>
        <w:t xml:space="preserve">Bref, pendant qu’elles nous offrent des cartes de crédit, elles nagent dans l’argent et tendent des chèques de milliards de dollars à des multinationales. </w:t>
      </w:r>
    </w:p>
    <w:p w:rsidR="007615B0" w:rsidRDefault="007615B0">
      <w:pPr>
        <w:rPr>
          <w:sz w:val="24"/>
          <w:szCs w:val="24"/>
        </w:rPr>
      </w:pPr>
    </w:p>
    <w:p w:rsidR="007615B0" w:rsidRDefault="002A711F">
      <w:pPr>
        <w:rPr>
          <w:b/>
          <w:i/>
          <w:sz w:val="24"/>
          <w:szCs w:val="24"/>
        </w:rPr>
      </w:pPr>
      <w:r>
        <w:rPr>
          <w:b/>
          <w:i/>
          <w:sz w:val="24"/>
          <w:szCs w:val="24"/>
        </w:rPr>
        <w:t>Quelques faits pour nourrir votre réflexion et votre c</w:t>
      </w:r>
      <w:r>
        <w:rPr>
          <w:b/>
          <w:i/>
          <w:sz w:val="24"/>
          <w:szCs w:val="24"/>
        </w:rPr>
        <w:t>hoix du lieu d’un</w:t>
      </w:r>
      <w:r w:rsidR="00B7626F">
        <w:rPr>
          <w:b/>
          <w:i/>
          <w:sz w:val="24"/>
          <w:szCs w:val="24"/>
        </w:rPr>
        <w:t>e</w:t>
      </w:r>
      <w:bookmarkStart w:id="0" w:name="_GoBack"/>
      <w:bookmarkEnd w:id="0"/>
      <w:r>
        <w:rPr>
          <w:b/>
          <w:i/>
          <w:sz w:val="24"/>
          <w:szCs w:val="24"/>
        </w:rPr>
        <w:t xml:space="preserve"> banque pour votre action : </w:t>
      </w:r>
    </w:p>
    <w:p w:rsidR="007615B0" w:rsidRDefault="007615B0">
      <w:pPr>
        <w:rPr>
          <w:sz w:val="24"/>
          <w:szCs w:val="24"/>
        </w:rPr>
      </w:pPr>
    </w:p>
    <w:p w:rsidR="007615B0" w:rsidRDefault="002A711F">
      <w:pPr>
        <w:numPr>
          <w:ilvl w:val="0"/>
          <w:numId w:val="2"/>
        </w:numPr>
        <w:rPr>
          <w:i/>
          <w:sz w:val="24"/>
          <w:szCs w:val="24"/>
        </w:rPr>
      </w:pPr>
      <w:r>
        <w:rPr>
          <w:i/>
          <w:sz w:val="24"/>
          <w:szCs w:val="24"/>
        </w:rPr>
        <w:t>Des investissements qui détruisent et créent des injustices</w:t>
      </w:r>
    </w:p>
    <w:p w:rsidR="007615B0" w:rsidRDefault="002A711F">
      <w:pPr>
        <w:numPr>
          <w:ilvl w:val="1"/>
          <w:numId w:val="2"/>
        </w:numPr>
        <w:ind w:left="1133"/>
        <w:rPr>
          <w:i/>
          <w:sz w:val="24"/>
          <w:szCs w:val="24"/>
        </w:rPr>
      </w:pPr>
      <w:r>
        <w:rPr>
          <w:sz w:val="24"/>
          <w:szCs w:val="24"/>
        </w:rPr>
        <w:t xml:space="preserve">Les cinq grandes banques canadiennes, soit </w:t>
      </w:r>
      <w:r>
        <w:rPr>
          <w:b/>
          <w:sz w:val="24"/>
          <w:szCs w:val="24"/>
        </w:rPr>
        <w:t xml:space="preserve">RBC, CIBC, BMO, TD et Banque </w:t>
      </w:r>
      <w:proofErr w:type="spellStart"/>
      <w:r>
        <w:rPr>
          <w:b/>
          <w:sz w:val="24"/>
          <w:szCs w:val="24"/>
        </w:rPr>
        <w:t>Scotia</w:t>
      </w:r>
      <w:proofErr w:type="spellEnd"/>
      <w:r>
        <w:rPr>
          <w:sz w:val="24"/>
          <w:szCs w:val="24"/>
        </w:rPr>
        <w:t xml:space="preserve">, financent la construction du gazoduc </w:t>
      </w:r>
      <w:proofErr w:type="spellStart"/>
      <w:r>
        <w:rPr>
          <w:sz w:val="24"/>
          <w:szCs w:val="24"/>
        </w:rPr>
        <w:t>Coastal</w:t>
      </w:r>
      <w:proofErr w:type="spellEnd"/>
      <w:r>
        <w:rPr>
          <w:sz w:val="24"/>
          <w:szCs w:val="24"/>
        </w:rPr>
        <w:t xml:space="preserve"> </w:t>
      </w:r>
      <w:proofErr w:type="spellStart"/>
      <w:r>
        <w:rPr>
          <w:sz w:val="24"/>
          <w:szCs w:val="24"/>
        </w:rPr>
        <w:t>GasLink</w:t>
      </w:r>
      <w:proofErr w:type="spellEnd"/>
      <w:r>
        <w:rPr>
          <w:sz w:val="24"/>
          <w:szCs w:val="24"/>
        </w:rPr>
        <w:t xml:space="preserve"> par le biais de </w:t>
      </w:r>
      <w:r>
        <w:rPr>
          <w:sz w:val="24"/>
          <w:szCs w:val="24"/>
        </w:rPr>
        <w:t>prêts totalisant 1,575 milliards de dollars. Ces banques utilisent votre argent pour investir dans des combustibles fossiles polluants et ce, malgré leurs déclarations publiques d’appui aux droits des peuples autochtones et à la lutte contre les changement</w:t>
      </w:r>
      <w:r>
        <w:rPr>
          <w:sz w:val="24"/>
          <w:szCs w:val="24"/>
        </w:rPr>
        <w:t>s climatiques.</w:t>
      </w:r>
      <w:r>
        <w:rPr>
          <w:sz w:val="24"/>
          <w:szCs w:val="24"/>
          <w:vertAlign w:val="superscript"/>
        </w:rPr>
        <w:footnoteReference w:id="1"/>
      </w:r>
    </w:p>
    <w:p w:rsidR="007615B0" w:rsidRDefault="002A711F">
      <w:pPr>
        <w:numPr>
          <w:ilvl w:val="1"/>
          <w:numId w:val="2"/>
        </w:numPr>
        <w:ind w:left="1133"/>
        <w:rPr>
          <w:i/>
          <w:sz w:val="24"/>
          <w:szCs w:val="24"/>
        </w:rPr>
      </w:pPr>
      <w:r>
        <w:rPr>
          <w:sz w:val="24"/>
          <w:szCs w:val="24"/>
        </w:rPr>
        <w:t xml:space="preserve">Au Canada, </w:t>
      </w:r>
      <w:r>
        <w:rPr>
          <w:b/>
          <w:sz w:val="24"/>
          <w:szCs w:val="24"/>
        </w:rPr>
        <w:t>RBC</w:t>
      </w:r>
      <w:r>
        <w:rPr>
          <w:sz w:val="24"/>
          <w:szCs w:val="24"/>
        </w:rPr>
        <w:t xml:space="preserve"> est le plus grand financier des combustibles fossiles, suivie de la </w:t>
      </w:r>
      <w:r>
        <w:rPr>
          <w:b/>
          <w:sz w:val="24"/>
          <w:szCs w:val="24"/>
        </w:rPr>
        <w:t xml:space="preserve">Banque </w:t>
      </w:r>
      <w:proofErr w:type="spellStart"/>
      <w:r>
        <w:rPr>
          <w:b/>
          <w:sz w:val="24"/>
          <w:szCs w:val="24"/>
        </w:rPr>
        <w:t>Scotia</w:t>
      </w:r>
      <w:proofErr w:type="spellEnd"/>
      <w:r>
        <w:rPr>
          <w:b/>
          <w:sz w:val="24"/>
          <w:szCs w:val="24"/>
        </w:rPr>
        <w:t xml:space="preserve">, </w:t>
      </w:r>
      <w:r>
        <w:rPr>
          <w:sz w:val="24"/>
          <w:szCs w:val="24"/>
        </w:rPr>
        <w:t xml:space="preserve">de </w:t>
      </w:r>
      <w:r>
        <w:rPr>
          <w:b/>
          <w:sz w:val="24"/>
          <w:szCs w:val="24"/>
        </w:rPr>
        <w:t xml:space="preserve">TD, </w:t>
      </w:r>
      <w:r>
        <w:rPr>
          <w:sz w:val="24"/>
          <w:szCs w:val="24"/>
        </w:rPr>
        <w:t>de</w:t>
      </w:r>
      <w:r>
        <w:rPr>
          <w:b/>
          <w:sz w:val="24"/>
          <w:szCs w:val="24"/>
        </w:rPr>
        <w:t xml:space="preserve"> BMO,</w:t>
      </w:r>
      <w:r>
        <w:rPr>
          <w:sz w:val="24"/>
          <w:szCs w:val="24"/>
        </w:rPr>
        <w:t xml:space="preserve"> de</w:t>
      </w:r>
      <w:r>
        <w:rPr>
          <w:b/>
          <w:sz w:val="24"/>
          <w:szCs w:val="24"/>
        </w:rPr>
        <w:t xml:space="preserve"> CIBC</w:t>
      </w:r>
      <w:r>
        <w:rPr>
          <w:sz w:val="24"/>
          <w:szCs w:val="24"/>
        </w:rPr>
        <w:t xml:space="preserve">, puis de </w:t>
      </w:r>
      <w:r>
        <w:rPr>
          <w:b/>
          <w:sz w:val="24"/>
          <w:szCs w:val="24"/>
        </w:rPr>
        <w:t>Desjardins.</w:t>
      </w:r>
      <w:r>
        <w:rPr>
          <w:b/>
          <w:sz w:val="24"/>
          <w:szCs w:val="24"/>
          <w:vertAlign w:val="superscript"/>
        </w:rPr>
        <w:footnoteReference w:id="2"/>
      </w:r>
    </w:p>
    <w:p w:rsidR="007615B0" w:rsidRDefault="002A711F">
      <w:pPr>
        <w:numPr>
          <w:ilvl w:val="1"/>
          <w:numId w:val="2"/>
        </w:numPr>
        <w:ind w:left="1133"/>
        <w:rPr>
          <w:i/>
          <w:sz w:val="24"/>
          <w:szCs w:val="24"/>
        </w:rPr>
      </w:pPr>
      <w:r>
        <w:rPr>
          <w:b/>
          <w:color w:val="000000"/>
          <w:sz w:val="24"/>
          <w:szCs w:val="24"/>
        </w:rPr>
        <w:t xml:space="preserve">Banque </w:t>
      </w:r>
      <w:proofErr w:type="spellStart"/>
      <w:r>
        <w:rPr>
          <w:b/>
          <w:color w:val="000000"/>
          <w:sz w:val="24"/>
          <w:szCs w:val="24"/>
        </w:rPr>
        <w:t>Scotia</w:t>
      </w:r>
      <w:proofErr w:type="spellEnd"/>
      <w:r>
        <w:rPr>
          <w:b/>
          <w:color w:val="000000"/>
          <w:sz w:val="24"/>
          <w:szCs w:val="24"/>
        </w:rPr>
        <w:t xml:space="preserve">, TD et CIBC </w:t>
      </w:r>
      <w:r>
        <w:rPr>
          <w:color w:val="000000"/>
          <w:sz w:val="24"/>
          <w:szCs w:val="24"/>
        </w:rPr>
        <w:t xml:space="preserve">n’ont, en 2020, aucune option d'investissements </w:t>
      </w:r>
      <w:proofErr w:type="gramStart"/>
      <w:r>
        <w:rPr>
          <w:color w:val="000000"/>
          <w:sz w:val="24"/>
          <w:szCs w:val="24"/>
        </w:rPr>
        <w:t xml:space="preserve">éthiques </w:t>
      </w:r>
      <w:proofErr w:type="gramEnd"/>
      <w:r>
        <w:rPr>
          <w:color w:val="000000"/>
          <w:sz w:val="24"/>
          <w:szCs w:val="24"/>
          <w:vertAlign w:val="superscript"/>
        </w:rPr>
        <w:footnoteReference w:id="3"/>
      </w:r>
      <w:r>
        <w:rPr>
          <w:color w:val="000000"/>
          <w:sz w:val="24"/>
          <w:szCs w:val="24"/>
        </w:rPr>
        <w:t>. C’est-à-dir</w:t>
      </w:r>
      <w:r>
        <w:rPr>
          <w:color w:val="000000"/>
          <w:sz w:val="24"/>
          <w:szCs w:val="24"/>
        </w:rPr>
        <w:t>e des investissements qui répondent à des critères environnementaux, sociaux et de gouvernance. (D’ailleurs, on peut se questionner sur ce concept bancaire. Si on offre une option spécifique qui, soi-disant, respecte les droits humains et la planète, qu’es</w:t>
      </w:r>
      <w:r>
        <w:rPr>
          <w:color w:val="000000"/>
          <w:sz w:val="24"/>
          <w:szCs w:val="24"/>
        </w:rPr>
        <w:t>t-ce que cela dit de l’éthique des autres options?)</w:t>
      </w:r>
    </w:p>
    <w:p w:rsidR="007615B0" w:rsidRDefault="002A711F">
      <w:pPr>
        <w:numPr>
          <w:ilvl w:val="1"/>
          <w:numId w:val="2"/>
        </w:numPr>
        <w:ind w:left="1133"/>
        <w:rPr>
          <w:i/>
          <w:sz w:val="24"/>
          <w:szCs w:val="24"/>
        </w:rPr>
      </w:pPr>
      <w:r>
        <w:rPr>
          <w:b/>
          <w:sz w:val="24"/>
          <w:szCs w:val="24"/>
        </w:rPr>
        <w:t>RBC</w:t>
      </w:r>
      <w:r>
        <w:rPr>
          <w:sz w:val="24"/>
          <w:szCs w:val="24"/>
        </w:rPr>
        <w:t xml:space="preserve"> est un investisseur important de l’industrie des armes nucléaires.</w:t>
      </w:r>
      <w:r>
        <w:rPr>
          <w:sz w:val="24"/>
          <w:szCs w:val="24"/>
          <w:vertAlign w:val="superscript"/>
        </w:rPr>
        <w:footnoteReference w:id="4"/>
      </w:r>
    </w:p>
    <w:p w:rsidR="007615B0" w:rsidRDefault="007615B0">
      <w:pPr>
        <w:ind w:left="1133" w:hanging="360"/>
        <w:rPr>
          <w:b/>
          <w:sz w:val="24"/>
          <w:szCs w:val="24"/>
        </w:rPr>
      </w:pPr>
    </w:p>
    <w:p w:rsidR="007615B0" w:rsidRDefault="002A711F">
      <w:pPr>
        <w:numPr>
          <w:ilvl w:val="0"/>
          <w:numId w:val="4"/>
        </w:numPr>
        <w:rPr>
          <w:i/>
          <w:sz w:val="24"/>
          <w:szCs w:val="24"/>
        </w:rPr>
      </w:pPr>
      <w:r>
        <w:rPr>
          <w:i/>
          <w:sz w:val="24"/>
          <w:szCs w:val="24"/>
        </w:rPr>
        <w:lastRenderedPageBreak/>
        <w:t>Des profits indécents</w:t>
      </w:r>
      <w:r>
        <w:rPr>
          <w:i/>
          <w:sz w:val="24"/>
          <w:szCs w:val="24"/>
        </w:rPr>
        <w:br/>
      </w:r>
    </w:p>
    <w:tbl>
      <w:tblPr>
        <w:tblStyle w:val="a"/>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95"/>
        <w:gridCol w:w="2310"/>
        <w:gridCol w:w="2310"/>
      </w:tblGrid>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widowControl w:val="0"/>
              <w:pBdr>
                <w:top w:val="nil"/>
                <w:left w:val="nil"/>
                <w:bottom w:val="nil"/>
                <w:right w:val="nil"/>
                <w:between w:val="nil"/>
              </w:pBdr>
              <w:rPr>
                <w:i/>
                <w:sz w:val="24"/>
                <w:szCs w:val="24"/>
              </w:rPr>
            </w:pPr>
            <w:r>
              <w:rPr>
                <w:i/>
                <w:sz w:val="24"/>
                <w:szCs w:val="24"/>
              </w:rPr>
              <w:t xml:space="preserve">Profits </w:t>
            </w:r>
            <w:r>
              <w:rPr>
                <w:i/>
                <w:sz w:val="24"/>
                <w:szCs w:val="24"/>
                <w:vertAlign w:val="superscript"/>
              </w:rPr>
              <w:footnoteReference w:id="5"/>
            </w:r>
          </w:p>
        </w:tc>
        <w:tc>
          <w:tcPr>
            <w:tcW w:w="2310"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jc w:val="center"/>
              <w:rPr>
                <w:b/>
                <w:i/>
                <w:sz w:val="24"/>
                <w:szCs w:val="24"/>
              </w:rPr>
            </w:pPr>
            <w:r>
              <w:rPr>
                <w:b/>
                <w:i/>
                <w:sz w:val="24"/>
                <w:szCs w:val="24"/>
              </w:rPr>
              <w:t>2019-2020</w:t>
            </w:r>
          </w:p>
        </w:tc>
        <w:tc>
          <w:tcPr>
            <w:tcW w:w="2310"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jc w:val="center"/>
              <w:rPr>
                <w:b/>
                <w:i/>
                <w:sz w:val="24"/>
                <w:szCs w:val="24"/>
              </w:rPr>
            </w:pPr>
            <w:r>
              <w:rPr>
                <w:b/>
                <w:i/>
                <w:sz w:val="24"/>
                <w:szCs w:val="24"/>
              </w:rPr>
              <w:t>2020-2021</w:t>
            </w:r>
          </w:p>
        </w:tc>
      </w:tr>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rPr>
                <w:b/>
                <w:sz w:val="24"/>
                <w:szCs w:val="24"/>
              </w:rPr>
            </w:pPr>
            <w:r>
              <w:rPr>
                <w:b/>
                <w:sz w:val="24"/>
                <w:szCs w:val="24"/>
              </w:rPr>
              <w:t xml:space="preserve">Banque Nationale </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989 M$</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1,56 G$</w:t>
            </w:r>
          </w:p>
        </w:tc>
      </w:tr>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rPr>
                <w:b/>
                <w:sz w:val="24"/>
                <w:szCs w:val="24"/>
              </w:rPr>
            </w:pPr>
            <w:r>
              <w:rPr>
                <w:b/>
                <w:sz w:val="24"/>
                <w:szCs w:val="24"/>
              </w:rPr>
              <w:t>Banque de Montréal (BMO)</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2,28 G$</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3,32 G$</w:t>
            </w:r>
          </w:p>
        </w:tc>
      </w:tr>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rPr>
                <w:b/>
                <w:sz w:val="24"/>
                <w:szCs w:val="24"/>
              </w:rPr>
            </w:pPr>
            <w:r>
              <w:rPr>
                <w:b/>
                <w:sz w:val="24"/>
                <w:szCs w:val="24"/>
              </w:rPr>
              <w:t xml:space="preserve">Banque Royale (RBC) </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4,99 G$</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7,86 G$</w:t>
            </w:r>
          </w:p>
        </w:tc>
      </w:tr>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rPr>
                <w:b/>
                <w:sz w:val="24"/>
                <w:szCs w:val="24"/>
              </w:rPr>
            </w:pPr>
            <w:r>
              <w:rPr>
                <w:b/>
                <w:sz w:val="24"/>
                <w:szCs w:val="24"/>
              </w:rPr>
              <w:t>Banque CIBC</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1,6 G$</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3,28 G $</w:t>
            </w:r>
          </w:p>
        </w:tc>
      </w:tr>
      <w:tr w:rsidR="007615B0">
        <w:trPr>
          <w:trHeight w:val="420"/>
        </w:trPr>
        <w:tc>
          <w:tcPr>
            <w:tcW w:w="4395" w:type="dxa"/>
            <w:tcBorders>
              <w:top w:val="single" w:sz="24" w:space="0" w:color="000000"/>
              <w:left w:val="single" w:sz="24" w:space="0" w:color="000000"/>
              <w:bottom w:val="single" w:sz="24" w:space="0" w:color="000000"/>
              <w:right w:val="single" w:sz="24" w:space="0" w:color="000000"/>
            </w:tcBorders>
            <w:shd w:val="clear" w:color="auto" w:fill="93C47D"/>
            <w:tcMar>
              <w:top w:w="20" w:type="dxa"/>
              <w:left w:w="20" w:type="dxa"/>
              <w:bottom w:w="20" w:type="dxa"/>
              <w:right w:w="20" w:type="dxa"/>
            </w:tcMar>
          </w:tcPr>
          <w:p w:rsidR="007615B0" w:rsidRDefault="002A711F">
            <w:pPr>
              <w:rPr>
                <w:b/>
                <w:sz w:val="24"/>
                <w:szCs w:val="24"/>
              </w:rPr>
            </w:pPr>
            <w:r>
              <w:rPr>
                <w:b/>
                <w:sz w:val="24"/>
                <w:szCs w:val="24"/>
              </w:rPr>
              <w:t xml:space="preserve">Banque TD </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4,5 G$</w:t>
            </w:r>
          </w:p>
        </w:tc>
        <w:tc>
          <w:tcPr>
            <w:tcW w:w="2310" w:type="dxa"/>
            <w:tcBorders>
              <w:top w:val="single" w:sz="24" w:space="0" w:color="000000"/>
              <w:left w:val="single" w:sz="24" w:space="0" w:color="000000"/>
              <w:bottom w:val="single" w:sz="24" w:space="0" w:color="000000"/>
              <w:right w:val="single" w:sz="24" w:space="0" w:color="000000"/>
            </w:tcBorders>
            <w:tcMar>
              <w:top w:w="20" w:type="dxa"/>
              <w:left w:w="20" w:type="dxa"/>
              <w:bottom w:w="20" w:type="dxa"/>
              <w:right w:w="20" w:type="dxa"/>
            </w:tcMar>
          </w:tcPr>
          <w:p w:rsidR="007615B0" w:rsidRDefault="002A711F">
            <w:pPr>
              <w:jc w:val="center"/>
              <w:rPr>
                <w:i/>
                <w:sz w:val="24"/>
                <w:szCs w:val="24"/>
              </w:rPr>
            </w:pPr>
            <w:r>
              <w:rPr>
                <w:i/>
                <w:sz w:val="24"/>
                <w:szCs w:val="24"/>
              </w:rPr>
              <w:t>6,97 G$</w:t>
            </w:r>
          </w:p>
        </w:tc>
      </w:tr>
    </w:tbl>
    <w:p w:rsidR="007615B0" w:rsidRDefault="007615B0">
      <w:pPr>
        <w:rPr>
          <w:i/>
          <w:sz w:val="24"/>
          <w:szCs w:val="24"/>
        </w:rPr>
      </w:pPr>
    </w:p>
    <w:p w:rsidR="007615B0" w:rsidRDefault="002A711F">
      <w:pPr>
        <w:numPr>
          <w:ilvl w:val="0"/>
          <w:numId w:val="3"/>
        </w:numPr>
        <w:rPr>
          <w:i/>
          <w:sz w:val="24"/>
          <w:szCs w:val="24"/>
        </w:rPr>
      </w:pPr>
      <w:r>
        <w:rPr>
          <w:i/>
          <w:sz w:val="24"/>
          <w:szCs w:val="24"/>
        </w:rPr>
        <w:t>Salaires de ces messieurs les PDG</w:t>
      </w:r>
    </w:p>
    <w:p w:rsidR="007615B0" w:rsidRDefault="007615B0">
      <w:pPr>
        <w:rPr>
          <w:i/>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615B0">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 xml:space="preserve">En 2019 </w:t>
            </w:r>
            <w:r>
              <w:rPr>
                <w:i/>
                <w:sz w:val="24"/>
                <w:szCs w:val="24"/>
                <w:vertAlign w:val="superscript"/>
              </w:rPr>
              <w:footnoteReference w:id="6"/>
            </w:r>
            <w:r>
              <w:rPr>
                <w:i/>
                <w:sz w:val="24"/>
                <w:szCs w:val="24"/>
              </w:rPr>
              <w:t xml:space="preserve"> </w:t>
            </w:r>
            <w:r>
              <w:rPr>
                <w:i/>
                <w:sz w:val="24"/>
                <w:szCs w:val="24"/>
                <w:vertAlign w:val="superscript"/>
              </w:rPr>
              <w:footnoteReference w:id="7"/>
            </w:r>
          </w:p>
        </w:tc>
        <w:tc>
          <w:tcPr>
            <w:tcW w:w="3009" w:type="dxa"/>
            <w:shd w:val="clear" w:color="auto" w:fill="auto"/>
            <w:tcMar>
              <w:top w:w="100" w:type="dxa"/>
              <w:left w:w="100" w:type="dxa"/>
              <w:bottom w:w="100" w:type="dxa"/>
              <w:right w:w="100" w:type="dxa"/>
            </w:tcMar>
          </w:tcPr>
          <w:p w:rsidR="007615B0" w:rsidRDefault="007615B0">
            <w:pPr>
              <w:widowControl w:val="0"/>
              <w:pBdr>
                <w:top w:val="nil"/>
                <w:left w:val="nil"/>
                <w:bottom w:val="nil"/>
                <w:right w:val="nil"/>
                <w:between w:val="nil"/>
              </w:pBdr>
              <w:spacing w:line="240" w:lineRule="auto"/>
              <w:rPr>
                <w:i/>
                <w:sz w:val="24"/>
                <w:szCs w:val="24"/>
              </w:rPr>
            </w:pP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Salaire</w:t>
            </w:r>
          </w:p>
        </w:tc>
      </w:tr>
      <w:tr w:rsidR="007615B0">
        <w:tc>
          <w:tcPr>
            <w:tcW w:w="3009" w:type="dxa"/>
            <w:shd w:val="clear" w:color="auto" w:fill="auto"/>
            <w:tcMar>
              <w:top w:w="100" w:type="dxa"/>
              <w:left w:w="100" w:type="dxa"/>
              <w:bottom w:w="100" w:type="dxa"/>
              <w:right w:w="100" w:type="dxa"/>
            </w:tcMar>
          </w:tcPr>
          <w:p w:rsidR="007615B0" w:rsidRDefault="002A711F">
            <w:pPr>
              <w:rPr>
                <w:sz w:val="24"/>
                <w:szCs w:val="24"/>
              </w:rPr>
            </w:pPr>
            <w:r>
              <w:rPr>
                <w:sz w:val="24"/>
                <w:szCs w:val="24"/>
              </w:rPr>
              <w:t>Guy Cormier</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sz w:val="24"/>
                <w:szCs w:val="24"/>
              </w:rPr>
            </w:pPr>
            <w:r>
              <w:rPr>
                <w:b/>
                <w:sz w:val="24"/>
                <w:szCs w:val="24"/>
              </w:rPr>
              <w:t xml:space="preserve">Desjardins </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sz w:val="24"/>
                <w:szCs w:val="24"/>
              </w:rPr>
            </w:pPr>
            <w:r>
              <w:rPr>
                <w:sz w:val="24"/>
                <w:szCs w:val="24"/>
              </w:rPr>
              <w:t>2,96 M$</w:t>
            </w:r>
          </w:p>
        </w:tc>
      </w:tr>
      <w:tr w:rsidR="007615B0">
        <w:tc>
          <w:tcPr>
            <w:tcW w:w="3009" w:type="dxa"/>
            <w:shd w:val="clear" w:color="auto" w:fill="auto"/>
            <w:tcMar>
              <w:top w:w="100" w:type="dxa"/>
              <w:left w:w="100" w:type="dxa"/>
              <w:bottom w:w="100" w:type="dxa"/>
              <w:right w:w="100" w:type="dxa"/>
            </w:tcMar>
          </w:tcPr>
          <w:p w:rsidR="007615B0" w:rsidRDefault="002A711F">
            <w:pPr>
              <w:rPr>
                <w:i/>
                <w:sz w:val="24"/>
                <w:szCs w:val="24"/>
              </w:rPr>
            </w:pPr>
            <w:r>
              <w:rPr>
                <w:i/>
                <w:sz w:val="24"/>
                <w:szCs w:val="24"/>
              </w:rPr>
              <w:t>François Desjardins</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i/>
                <w:sz w:val="24"/>
                <w:szCs w:val="24"/>
              </w:rPr>
            </w:pPr>
            <w:r>
              <w:rPr>
                <w:b/>
                <w:i/>
                <w:sz w:val="24"/>
                <w:szCs w:val="24"/>
              </w:rPr>
              <w:t>Laurentienne</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3,09 M$</w:t>
            </w:r>
          </w:p>
        </w:tc>
      </w:tr>
      <w:tr w:rsidR="007615B0">
        <w:tc>
          <w:tcPr>
            <w:tcW w:w="3009" w:type="dxa"/>
            <w:shd w:val="clear" w:color="auto" w:fill="auto"/>
            <w:tcMar>
              <w:top w:w="100" w:type="dxa"/>
              <w:left w:w="100" w:type="dxa"/>
              <w:bottom w:w="100" w:type="dxa"/>
              <w:right w:w="100" w:type="dxa"/>
            </w:tcMar>
          </w:tcPr>
          <w:p w:rsidR="007615B0" w:rsidRDefault="002A711F">
            <w:pPr>
              <w:rPr>
                <w:i/>
                <w:sz w:val="24"/>
                <w:szCs w:val="24"/>
              </w:rPr>
            </w:pPr>
            <w:r>
              <w:rPr>
                <w:i/>
                <w:sz w:val="24"/>
                <w:szCs w:val="24"/>
              </w:rPr>
              <w:t>Louis Vachon</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i/>
                <w:sz w:val="24"/>
                <w:szCs w:val="24"/>
              </w:rPr>
            </w:pPr>
            <w:r>
              <w:rPr>
                <w:b/>
                <w:i/>
                <w:sz w:val="24"/>
                <w:szCs w:val="24"/>
              </w:rPr>
              <w:t>Banque Nationale</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7,6 M$</w:t>
            </w:r>
          </w:p>
        </w:tc>
      </w:tr>
      <w:tr w:rsidR="007615B0">
        <w:tc>
          <w:tcPr>
            <w:tcW w:w="3009" w:type="dxa"/>
            <w:shd w:val="clear" w:color="auto" w:fill="auto"/>
            <w:tcMar>
              <w:top w:w="100" w:type="dxa"/>
              <w:left w:w="100" w:type="dxa"/>
              <w:bottom w:w="100" w:type="dxa"/>
              <w:right w:w="100" w:type="dxa"/>
            </w:tcMar>
          </w:tcPr>
          <w:p w:rsidR="007615B0" w:rsidRDefault="002A711F">
            <w:pPr>
              <w:rPr>
                <w:i/>
                <w:sz w:val="24"/>
                <w:szCs w:val="24"/>
              </w:rPr>
            </w:pPr>
            <w:r>
              <w:rPr>
                <w:i/>
                <w:sz w:val="24"/>
                <w:szCs w:val="24"/>
              </w:rPr>
              <w:t>Brian Porter</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i/>
                <w:sz w:val="24"/>
                <w:szCs w:val="24"/>
              </w:rPr>
            </w:pPr>
            <w:r>
              <w:rPr>
                <w:b/>
                <w:i/>
                <w:sz w:val="24"/>
                <w:szCs w:val="24"/>
              </w:rPr>
              <w:t xml:space="preserve">Banque </w:t>
            </w:r>
            <w:proofErr w:type="spellStart"/>
            <w:r>
              <w:rPr>
                <w:b/>
                <w:i/>
                <w:sz w:val="24"/>
                <w:szCs w:val="24"/>
              </w:rPr>
              <w:t>Scotia</w:t>
            </w:r>
            <w:proofErr w:type="spellEnd"/>
            <w:r>
              <w:rPr>
                <w:b/>
                <w:i/>
                <w:sz w:val="24"/>
                <w:szCs w:val="24"/>
              </w:rPr>
              <w:t xml:space="preserve"> </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12,6 M$</w:t>
            </w:r>
          </w:p>
        </w:tc>
      </w:tr>
      <w:tr w:rsidR="007615B0">
        <w:tc>
          <w:tcPr>
            <w:tcW w:w="3009" w:type="dxa"/>
            <w:shd w:val="clear" w:color="auto" w:fill="auto"/>
            <w:tcMar>
              <w:top w:w="100" w:type="dxa"/>
              <w:left w:w="100" w:type="dxa"/>
              <w:bottom w:w="100" w:type="dxa"/>
              <w:right w:w="100" w:type="dxa"/>
            </w:tcMar>
          </w:tcPr>
          <w:p w:rsidR="007615B0" w:rsidRDefault="002A711F">
            <w:pPr>
              <w:rPr>
                <w:i/>
                <w:sz w:val="24"/>
                <w:szCs w:val="24"/>
              </w:rPr>
            </w:pPr>
            <w:proofErr w:type="spellStart"/>
            <w:r>
              <w:rPr>
                <w:i/>
                <w:sz w:val="24"/>
                <w:szCs w:val="24"/>
              </w:rPr>
              <w:t>Bharat</w:t>
            </w:r>
            <w:proofErr w:type="spellEnd"/>
            <w:r>
              <w:rPr>
                <w:i/>
                <w:sz w:val="24"/>
                <w:szCs w:val="24"/>
              </w:rPr>
              <w:t xml:space="preserve"> </w:t>
            </w:r>
            <w:proofErr w:type="spellStart"/>
            <w:r>
              <w:rPr>
                <w:i/>
                <w:sz w:val="24"/>
                <w:szCs w:val="24"/>
              </w:rPr>
              <w:t>Masrani</w:t>
            </w:r>
            <w:proofErr w:type="spellEnd"/>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i/>
                <w:sz w:val="24"/>
                <w:szCs w:val="24"/>
              </w:rPr>
            </w:pPr>
            <w:r>
              <w:rPr>
                <w:b/>
                <w:i/>
                <w:sz w:val="24"/>
                <w:szCs w:val="24"/>
              </w:rPr>
              <w:t>Banque TD</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12,6 M$</w:t>
            </w:r>
          </w:p>
        </w:tc>
      </w:tr>
      <w:tr w:rsidR="007615B0">
        <w:tc>
          <w:tcPr>
            <w:tcW w:w="3009" w:type="dxa"/>
            <w:shd w:val="clear" w:color="auto" w:fill="auto"/>
            <w:tcMar>
              <w:top w:w="100" w:type="dxa"/>
              <w:left w:w="100" w:type="dxa"/>
              <w:bottom w:w="100" w:type="dxa"/>
              <w:right w:w="100" w:type="dxa"/>
            </w:tcMar>
          </w:tcPr>
          <w:p w:rsidR="007615B0" w:rsidRDefault="002A711F">
            <w:pPr>
              <w:rPr>
                <w:i/>
                <w:sz w:val="24"/>
                <w:szCs w:val="24"/>
              </w:rPr>
            </w:pPr>
            <w:r>
              <w:rPr>
                <w:i/>
                <w:sz w:val="24"/>
                <w:szCs w:val="24"/>
              </w:rPr>
              <w:t>David McKay</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b/>
                <w:i/>
                <w:sz w:val="24"/>
                <w:szCs w:val="24"/>
              </w:rPr>
            </w:pPr>
            <w:r>
              <w:rPr>
                <w:b/>
                <w:i/>
                <w:sz w:val="24"/>
                <w:szCs w:val="24"/>
              </w:rPr>
              <w:t>Banque Royale (RBC)</w:t>
            </w:r>
          </w:p>
        </w:tc>
        <w:tc>
          <w:tcPr>
            <w:tcW w:w="3009" w:type="dxa"/>
            <w:shd w:val="clear" w:color="auto" w:fill="auto"/>
            <w:tcMar>
              <w:top w:w="100" w:type="dxa"/>
              <w:left w:w="100" w:type="dxa"/>
              <w:bottom w:w="100" w:type="dxa"/>
              <w:right w:w="100" w:type="dxa"/>
            </w:tcMar>
          </w:tcPr>
          <w:p w:rsidR="007615B0" w:rsidRDefault="002A711F">
            <w:pPr>
              <w:widowControl w:val="0"/>
              <w:pBdr>
                <w:top w:val="nil"/>
                <w:left w:val="nil"/>
                <w:bottom w:val="nil"/>
                <w:right w:val="nil"/>
                <w:between w:val="nil"/>
              </w:pBdr>
              <w:spacing w:line="240" w:lineRule="auto"/>
              <w:rPr>
                <w:i/>
                <w:sz w:val="24"/>
                <w:szCs w:val="24"/>
              </w:rPr>
            </w:pPr>
            <w:r>
              <w:rPr>
                <w:i/>
                <w:sz w:val="24"/>
                <w:szCs w:val="24"/>
              </w:rPr>
              <w:t>12,7 M$</w:t>
            </w:r>
          </w:p>
        </w:tc>
      </w:tr>
    </w:tbl>
    <w:p w:rsidR="007615B0" w:rsidRDefault="007615B0">
      <w:pPr>
        <w:rPr>
          <w:sz w:val="24"/>
          <w:szCs w:val="24"/>
        </w:rPr>
      </w:pPr>
    </w:p>
    <w:p w:rsidR="007615B0" w:rsidRDefault="002A711F">
      <w:pPr>
        <w:numPr>
          <w:ilvl w:val="0"/>
          <w:numId w:val="1"/>
        </w:numPr>
        <w:rPr>
          <w:i/>
          <w:sz w:val="24"/>
          <w:szCs w:val="24"/>
        </w:rPr>
      </w:pPr>
      <w:r>
        <w:rPr>
          <w:i/>
          <w:sz w:val="24"/>
          <w:szCs w:val="24"/>
        </w:rPr>
        <w:t xml:space="preserve">Des pratiques abusives </w:t>
      </w:r>
    </w:p>
    <w:p w:rsidR="007615B0" w:rsidRDefault="002A711F">
      <w:pPr>
        <w:ind w:left="720"/>
        <w:rPr>
          <w:sz w:val="24"/>
          <w:szCs w:val="24"/>
        </w:rPr>
      </w:pPr>
      <w:r>
        <w:rPr>
          <w:sz w:val="24"/>
          <w:szCs w:val="24"/>
        </w:rPr>
        <w:t>Les banques font des profits énormes en maintenant des mauvaises pratiques et de la vente abusive. L’impératif de faire des profits des institutions financières, additionné au déséquilibre des forces entre elles et les consommatrices et consommateurs, expo</w:t>
      </w:r>
      <w:r>
        <w:rPr>
          <w:sz w:val="24"/>
          <w:szCs w:val="24"/>
        </w:rPr>
        <w:t xml:space="preserve">sent les gens à certains risques notamment le surendettement. </w:t>
      </w:r>
      <w:r>
        <w:rPr>
          <w:sz w:val="24"/>
          <w:szCs w:val="24"/>
          <w:vertAlign w:val="superscript"/>
        </w:rPr>
        <w:footnoteReference w:id="8"/>
      </w:r>
      <w:r>
        <w:rPr>
          <w:sz w:val="24"/>
          <w:szCs w:val="24"/>
        </w:rPr>
        <w:t xml:space="preserve"> </w:t>
      </w:r>
      <w:hyperlink r:id="rId7">
        <w:r>
          <w:rPr>
            <w:color w:val="1155CC"/>
            <w:sz w:val="24"/>
            <w:szCs w:val="24"/>
            <w:u w:val="single"/>
          </w:rPr>
          <w:t>Un reportage de CBC</w:t>
        </w:r>
      </w:hyperlink>
      <w:r>
        <w:rPr>
          <w:sz w:val="24"/>
          <w:szCs w:val="24"/>
        </w:rPr>
        <w:t xml:space="preserve"> de 2017 a, en effet, révélé des cas inquiétants de vente sous </w:t>
      </w:r>
      <w:r>
        <w:rPr>
          <w:sz w:val="24"/>
          <w:szCs w:val="24"/>
        </w:rPr>
        <w:t xml:space="preserve">pression chez </w:t>
      </w:r>
      <w:r>
        <w:rPr>
          <w:b/>
          <w:sz w:val="24"/>
          <w:szCs w:val="24"/>
        </w:rPr>
        <w:t xml:space="preserve">la Banque Royale </w:t>
      </w:r>
      <w:r>
        <w:rPr>
          <w:b/>
          <w:sz w:val="24"/>
          <w:szCs w:val="24"/>
        </w:rPr>
        <w:lastRenderedPageBreak/>
        <w:t xml:space="preserve">(RBC), la Banque de Montréal (BMO), la Banque CIBC, la Banque TD et de la Banque </w:t>
      </w:r>
      <w:proofErr w:type="spellStart"/>
      <w:r>
        <w:rPr>
          <w:b/>
          <w:sz w:val="24"/>
          <w:szCs w:val="24"/>
        </w:rPr>
        <w:t>Scotia</w:t>
      </w:r>
      <w:proofErr w:type="spellEnd"/>
      <w:r>
        <w:rPr>
          <w:b/>
          <w:sz w:val="24"/>
          <w:szCs w:val="24"/>
        </w:rPr>
        <w:t xml:space="preserve">. </w:t>
      </w:r>
    </w:p>
    <w:p w:rsidR="007615B0" w:rsidRDefault="007615B0">
      <w:pPr>
        <w:rPr>
          <w:sz w:val="24"/>
          <w:szCs w:val="24"/>
        </w:rPr>
      </w:pPr>
    </w:p>
    <w:p w:rsidR="007615B0" w:rsidRDefault="007615B0">
      <w:pPr>
        <w:rPr>
          <w:i/>
        </w:rPr>
      </w:pPr>
    </w:p>
    <w:sectPr w:rsidR="007615B0">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1F" w:rsidRDefault="002A711F">
      <w:pPr>
        <w:spacing w:line="240" w:lineRule="auto"/>
      </w:pPr>
      <w:r>
        <w:separator/>
      </w:r>
    </w:p>
  </w:endnote>
  <w:endnote w:type="continuationSeparator" w:id="0">
    <w:p w:rsidR="002A711F" w:rsidRDefault="002A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5B0" w:rsidRDefault="002A711F">
    <w:pPr>
      <w:rPr>
        <w:color w:val="999999"/>
        <w:sz w:val="20"/>
        <w:szCs w:val="20"/>
      </w:rPr>
    </w:pPr>
    <w:r>
      <w:rPr>
        <w:color w:val="999999"/>
        <w:sz w:val="20"/>
        <w:szCs w:val="20"/>
      </w:rPr>
      <w:t>MÉPACQ - Les banques : quelques faits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1F" w:rsidRDefault="002A711F">
      <w:pPr>
        <w:spacing w:line="240" w:lineRule="auto"/>
      </w:pPr>
      <w:r>
        <w:separator/>
      </w:r>
    </w:p>
  </w:footnote>
  <w:footnote w:type="continuationSeparator" w:id="0">
    <w:p w:rsidR="002A711F" w:rsidRDefault="002A711F">
      <w:pPr>
        <w:spacing w:line="240" w:lineRule="auto"/>
      </w:pPr>
      <w:r>
        <w:continuationSeparator/>
      </w:r>
    </w:p>
  </w:footnote>
  <w:footnote w:id="1">
    <w:p w:rsidR="007615B0" w:rsidRDefault="002A711F">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Greenpeace </w:t>
        </w:r>
      </w:hyperlink>
    </w:p>
  </w:footnote>
  <w:footnote w:id="2">
    <w:p w:rsidR="007615B0" w:rsidRDefault="002A711F">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Le financement des combustibles fossiles</w:t>
        </w:r>
        <w:r>
          <w:rPr>
            <w:color w:val="1155CC"/>
            <w:sz w:val="20"/>
            <w:szCs w:val="20"/>
            <w:u w:val="single"/>
          </w:rPr>
          <w:t xml:space="preserve"> au Canada </w:t>
        </w:r>
      </w:hyperlink>
    </w:p>
  </w:footnote>
  <w:footnote w:id="3">
    <w:p w:rsidR="007615B0" w:rsidRPr="00763518" w:rsidRDefault="002A711F">
      <w:pPr>
        <w:spacing w:line="240" w:lineRule="auto"/>
        <w:rPr>
          <w:sz w:val="18"/>
          <w:szCs w:val="18"/>
          <w:lang w:val="en-CA"/>
        </w:rPr>
      </w:pPr>
      <w:r>
        <w:rPr>
          <w:vertAlign w:val="superscript"/>
        </w:rPr>
        <w:footnoteRef/>
      </w:r>
      <w:r w:rsidRPr="00763518">
        <w:rPr>
          <w:sz w:val="20"/>
          <w:szCs w:val="20"/>
          <w:lang w:val="en-CA"/>
        </w:rPr>
        <w:t xml:space="preserve"> </w:t>
      </w:r>
      <w:hyperlink r:id="rId3">
        <w:r w:rsidRPr="00763518">
          <w:rPr>
            <w:color w:val="1155CC"/>
            <w:sz w:val="20"/>
            <w:szCs w:val="20"/>
            <w:u w:val="single"/>
            <w:lang w:val="en-CA"/>
          </w:rPr>
          <w:t>Bank report card: Three of Big Five banks fail to deliver ethical investment options</w:t>
        </w:r>
      </w:hyperlink>
    </w:p>
  </w:footnote>
  <w:footnote w:id="4">
    <w:p w:rsidR="007615B0" w:rsidRPr="00763518" w:rsidRDefault="002A711F">
      <w:pPr>
        <w:spacing w:line="240" w:lineRule="auto"/>
        <w:rPr>
          <w:sz w:val="20"/>
          <w:szCs w:val="20"/>
          <w:lang w:val="en-CA"/>
        </w:rPr>
      </w:pPr>
      <w:r>
        <w:rPr>
          <w:vertAlign w:val="superscript"/>
        </w:rPr>
        <w:footnoteRef/>
      </w:r>
      <w:r w:rsidRPr="00763518">
        <w:rPr>
          <w:sz w:val="18"/>
          <w:szCs w:val="18"/>
          <w:lang w:val="en-CA"/>
        </w:rPr>
        <w:t xml:space="preserve"> </w:t>
      </w:r>
      <w:hyperlink r:id="rId4">
        <w:r w:rsidRPr="00763518">
          <w:rPr>
            <w:color w:val="1155CC"/>
            <w:sz w:val="20"/>
            <w:szCs w:val="20"/>
            <w:u w:val="single"/>
            <w:lang w:val="en-CA"/>
          </w:rPr>
          <w:t>Don't Bank on the Bomb: $748 billion invested in nuclear weapons</w:t>
        </w:r>
      </w:hyperlink>
    </w:p>
    <w:p w:rsidR="007615B0" w:rsidRPr="00763518" w:rsidRDefault="007615B0">
      <w:pPr>
        <w:spacing w:line="240" w:lineRule="auto"/>
        <w:rPr>
          <w:sz w:val="20"/>
          <w:szCs w:val="20"/>
          <w:lang w:val="en-CA"/>
        </w:rPr>
      </w:pPr>
    </w:p>
  </w:footnote>
  <w:footnote w:id="5">
    <w:p w:rsidR="007615B0" w:rsidRDefault="002A711F">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Des profits joufflus pour cinq grandes banques canadiennes</w:t>
        </w:r>
      </w:hyperlink>
    </w:p>
  </w:footnote>
  <w:footnote w:id="6">
    <w:p w:rsidR="007615B0" w:rsidRDefault="002A711F">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Des paies en forte baisse pour plusieurs patrons de banques</w:t>
        </w:r>
      </w:hyperlink>
    </w:p>
  </w:footnote>
  <w:footnote w:id="7">
    <w:p w:rsidR="007615B0" w:rsidRDefault="002A711F">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Le PDG de Desjardins empoche 2,96</w:t>
        </w:r>
        <w:r>
          <w:rPr>
            <w:color w:val="1155CC"/>
            <w:sz w:val="20"/>
            <w:szCs w:val="20"/>
            <w:u w:val="single"/>
          </w:rPr>
          <w:t xml:space="preserve"> M$</w:t>
        </w:r>
      </w:hyperlink>
    </w:p>
  </w:footnote>
  <w:footnote w:id="8">
    <w:p w:rsidR="007615B0" w:rsidRDefault="002A711F">
      <w:pPr>
        <w:spacing w:line="240" w:lineRule="auto"/>
        <w:rPr>
          <w:color w:val="1A1A1A"/>
          <w:sz w:val="24"/>
          <w:szCs w:val="24"/>
          <w:shd w:val="clear" w:color="auto" w:fill="F9F9F8"/>
        </w:rPr>
      </w:pPr>
      <w:r>
        <w:rPr>
          <w:vertAlign w:val="superscript"/>
        </w:rPr>
        <w:footnoteRef/>
      </w:r>
      <w:r>
        <w:rPr>
          <w:sz w:val="20"/>
          <w:szCs w:val="20"/>
        </w:rPr>
        <w:t xml:space="preserve"> </w:t>
      </w:r>
      <w:hyperlink r:id="rId8">
        <w:r>
          <w:rPr>
            <w:color w:val="1155CC"/>
            <w:sz w:val="20"/>
            <w:szCs w:val="20"/>
            <w:u w:val="single"/>
          </w:rPr>
          <w:t>Union des consommateurs</w:t>
        </w:r>
      </w:hyperlink>
      <w:r>
        <w:rPr>
          <w:sz w:val="20"/>
          <w:szCs w:val="20"/>
        </w:rPr>
        <w:t xml:space="preserve"> et </w:t>
      </w:r>
      <w:hyperlink r:id="rId9">
        <w:r>
          <w:rPr>
            <w:color w:val="1155CC"/>
            <w:sz w:val="20"/>
            <w:szCs w:val="20"/>
            <w:u w:val="single"/>
          </w:rPr>
          <w:t>Enquête sur des pratiques douteuses des banques</w:t>
        </w:r>
      </w:hyperlink>
    </w:p>
    <w:p w:rsidR="007615B0" w:rsidRDefault="007615B0">
      <w:pPr>
        <w:spacing w:line="240" w:lineRule="auto"/>
        <w:rPr>
          <w:color w:val="1A1A1A"/>
          <w:sz w:val="24"/>
          <w:szCs w:val="24"/>
          <w:shd w:val="clear" w:color="auto" w:fill="F9F9F8"/>
        </w:rPr>
      </w:pPr>
    </w:p>
    <w:p w:rsidR="007615B0" w:rsidRDefault="007615B0">
      <w:pPr>
        <w:spacing w:line="240" w:lineRule="auto"/>
        <w:rPr>
          <w:color w:val="1A1A1A"/>
          <w:sz w:val="24"/>
          <w:szCs w:val="24"/>
          <w:shd w:val="clear" w:color="auto" w:fill="F9F9F8"/>
        </w:rPr>
      </w:pPr>
    </w:p>
    <w:p w:rsidR="007615B0" w:rsidRDefault="007615B0">
      <w:pPr>
        <w:spacing w:line="240" w:lineRule="auto"/>
        <w:rPr>
          <w:color w:val="1A1A1A"/>
          <w:sz w:val="24"/>
          <w:szCs w:val="24"/>
          <w:shd w:val="clear" w:color="auto" w:fill="F9F9F8"/>
        </w:rPr>
      </w:pPr>
    </w:p>
    <w:p w:rsidR="007615B0" w:rsidRDefault="007615B0">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078C"/>
    <w:multiLevelType w:val="multilevel"/>
    <w:tmpl w:val="8596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87146"/>
    <w:multiLevelType w:val="multilevel"/>
    <w:tmpl w:val="CC56B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60AC2"/>
    <w:multiLevelType w:val="multilevel"/>
    <w:tmpl w:val="C992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2367C7"/>
    <w:multiLevelType w:val="multilevel"/>
    <w:tmpl w:val="0BAE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B0"/>
    <w:rsid w:val="002A711F"/>
    <w:rsid w:val="007615B0"/>
    <w:rsid w:val="00763518"/>
    <w:rsid w:val="00B762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61FB1-EFF0-4AFC-B45A-A1BCC49C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i.radio-canada.ca/nouvelle/1022414/pratiques-bancaires-examinees-agence-feder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iondesconsommateurs.ca/acfc-banques/" TargetMode="External"/><Relationship Id="rId3" Type="http://schemas.openxmlformats.org/officeDocument/2006/relationships/hyperlink" Target="https://www.corporateknights.com/responsible-investing/bank-report-card-3-5-big-five-banks-failing-deliver-ethical-investment-options/" TargetMode="External"/><Relationship Id="rId7" Type="http://schemas.openxmlformats.org/officeDocument/2006/relationships/hyperlink" Target="https://www.journaldequebec.com/2020/03/12/le-pdg-de-desjardins-empoche296-m" TargetMode="External"/><Relationship Id="rId2" Type="http://schemas.openxmlformats.org/officeDocument/2006/relationships/hyperlink" Target="https://www.greenpeace.org/static/planet4-canada-stateless/2021/08/a293943f-rapport-profundo_-pre%CC%81face-et-re%CC%81sume%CC%81-de-greenpeace-canada-1.pdf" TargetMode="External"/><Relationship Id="rId1" Type="http://schemas.openxmlformats.org/officeDocument/2006/relationships/hyperlink" Target="https://act.greenpeace.ca/fr-ca/coastalgaslink?utm_campaign=fossilfuels-banks&amp;utm_source=facebook&amp;utm_medium=social&amp;utm_term=fr-20211215-share-image&amp;utm_content=banks.stopcgl.laurentianbank.macro&amp;fbclid=IwAR1OylKntb4n8w7OqgrZUHuuM4tKuBTJFfw0RlILCHdFX64m9phH0e10LZA" TargetMode="External"/><Relationship Id="rId6" Type="http://schemas.openxmlformats.org/officeDocument/2006/relationships/hyperlink" Target="https://www.journaldemontreal.com/2020/03/06/des-paies-en-forte-baisse-pour-plusieurs-patrons-de-banques" TargetMode="External"/><Relationship Id="rId5" Type="http://schemas.openxmlformats.org/officeDocument/2006/relationships/hyperlink" Target="https://www.journaldequebec.com/2021/05/29/des-profits-joufflus-pour-cinq-grandes-banques-canadiennes" TargetMode="External"/><Relationship Id="rId4" Type="http://schemas.openxmlformats.org/officeDocument/2006/relationships/hyperlink" Target="https://wri-irg.org/en/story/2019/dont-bank-bomb-748-billion-invested-nuclear-weapons" TargetMode="External"/><Relationship Id="rId9" Type="http://schemas.openxmlformats.org/officeDocument/2006/relationships/hyperlink" Target="https://ici.radio-canada.ca/nouvelle/1022414/pratiques-bancaires-examinees-agence-feder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2698</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Dumas</cp:lastModifiedBy>
  <cp:revision>3</cp:revision>
  <dcterms:created xsi:type="dcterms:W3CDTF">2022-03-14T14:47:00Z</dcterms:created>
  <dcterms:modified xsi:type="dcterms:W3CDTF">2022-03-14T14:48:00Z</dcterms:modified>
</cp:coreProperties>
</file>